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9B" w:rsidRPr="00A3025D" w:rsidRDefault="0002779B" w:rsidP="00361804">
      <w:pPr>
        <w:spacing w:line="360" w:lineRule="auto"/>
        <w:jc w:val="both"/>
        <w:rPr>
          <w:rFonts w:ascii="Garamond" w:hAnsi="Garamond"/>
          <w:sz w:val="24"/>
          <w:szCs w:val="24"/>
        </w:rPr>
      </w:pPr>
      <w:r w:rsidRPr="00A3025D">
        <w:rPr>
          <w:rFonts w:ascii="Garamond" w:hAnsi="Garamond"/>
          <w:sz w:val="24"/>
          <w:szCs w:val="24"/>
        </w:rPr>
        <w:t>SUMARIO</w:t>
      </w:r>
    </w:p>
    <w:p w:rsidR="0002779B" w:rsidRPr="00A3025D" w:rsidRDefault="0002779B" w:rsidP="00361804">
      <w:pPr>
        <w:spacing w:line="360" w:lineRule="auto"/>
        <w:jc w:val="both"/>
        <w:rPr>
          <w:rFonts w:ascii="Garamond" w:hAnsi="Garamond"/>
          <w:sz w:val="24"/>
          <w:szCs w:val="24"/>
        </w:rPr>
      </w:pPr>
      <w:r w:rsidRPr="00A3025D">
        <w:rPr>
          <w:rFonts w:ascii="Garamond" w:hAnsi="Garamond"/>
          <w:sz w:val="24"/>
          <w:szCs w:val="24"/>
          <w:u w:val="single"/>
        </w:rPr>
        <w:t>ACTOR</w:t>
      </w:r>
      <w:r w:rsidRPr="00A3025D">
        <w:rPr>
          <w:rFonts w:ascii="Garamond" w:hAnsi="Garamond"/>
          <w:sz w:val="24"/>
          <w:szCs w:val="24"/>
        </w:rPr>
        <w:t>: ASOCIACIÓN CIVIL POR LA IGUALDAD Y LA JUSTICIA (ACIJ)</w:t>
      </w:r>
    </w:p>
    <w:p w:rsidR="0002779B" w:rsidRPr="00A3025D" w:rsidRDefault="0002779B" w:rsidP="00361804">
      <w:pPr>
        <w:spacing w:line="360" w:lineRule="auto"/>
        <w:jc w:val="both"/>
        <w:rPr>
          <w:rFonts w:ascii="Garamond" w:hAnsi="Garamond"/>
          <w:sz w:val="24"/>
          <w:szCs w:val="24"/>
        </w:rPr>
      </w:pPr>
      <w:r w:rsidRPr="00A3025D">
        <w:rPr>
          <w:rFonts w:ascii="Garamond" w:hAnsi="Garamond"/>
          <w:sz w:val="24"/>
          <w:szCs w:val="24"/>
          <w:u w:val="single"/>
        </w:rPr>
        <w:t>DEMANDADO</w:t>
      </w:r>
      <w:r w:rsidRPr="00A3025D">
        <w:rPr>
          <w:rFonts w:ascii="Garamond" w:hAnsi="Garamond"/>
          <w:sz w:val="24"/>
          <w:szCs w:val="24"/>
        </w:rPr>
        <w:t>: GOBIERNO DE LA CIUDAD DE BUENOS AIRES</w:t>
      </w:r>
      <w:r w:rsidR="00DD0DC3" w:rsidRPr="00A3025D">
        <w:rPr>
          <w:rFonts w:ascii="Garamond" w:hAnsi="Garamond"/>
          <w:sz w:val="24"/>
          <w:szCs w:val="24"/>
        </w:rPr>
        <w:t xml:space="preserve"> (PODER EJECUTIVO)</w:t>
      </w:r>
    </w:p>
    <w:p w:rsidR="0002779B" w:rsidRPr="00A3025D" w:rsidRDefault="0002779B" w:rsidP="00361804">
      <w:pPr>
        <w:spacing w:line="360" w:lineRule="auto"/>
        <w:jc w:val="both"/>
        <w:rPr>
          <w:rFonts w:ascii="Garamond" w:hAnsi="Garamond"/>
          <w:sz w:val="24"/>
          <w:szCs w:val="24"/>
        </w:rPr>
      </w:pPr>
      <w:r w:rsidRPr="00A3025D">
        <w:rPr>
          <w:rFonts w:ascii="Garamond" w:hAnsi="Garamond"/>
          <w:sz w:val="24"/>
          <w:szCs w:val="24"/>
          <w:u w:val="single"/>
        </w:rPr>
        <w:t>MATERIA</w:t>
      </w:r>
      <w:r w:rsidRPr="00A3025D">
        <w:rPr>
          <w:rFonts w:ascii="Garamond" w:hAnsi="Garamond"/>
          <w:sz w:val="24"/>
          <w:szCs w:val="24"/>
        </w:rPr>
        <w:t xml:space="preserve">: </w:t>
      </w:r>
      <w:r w:rsidR="00DD0DC3" w:rsidRPr="00A3025D">
        <w:rPr>
          <w:rFonts w:ascii="Garamond" w:hAnsi="Garamond"/>
          <w:sz w:val="24"/>
          <w:szCs w:val="24"/>
        </w:rPr>
        <w:t>MEDIDA AUTOSATISFACTIVA</w:t>
      </w:r>
    </w:p>
    <w:p w:rsidR="0002779B" w:rsidRPr="00A3025D" w:rsidRDefault="0002779B" w:rsidP="00361804">
      <w:pPr>
        <w:spacing w:line="360" w:lineRule="auto"/>
        <w:jc w:val="both"/>
        <w:rPr>
          <w:rFonts w:ascii="Garamond" w:hAnsi="Garamond"/>
          <w:sz w:val="24"/>
          <w:szCs w:val="24"/>
        </w:rPr>
      </w:pPr>
      <w:r w:rsidRPr="00A3025D">
        <w:rPr>
          <w:rFonts w:ascii="Garamond" w:hAnsi="Garamond"/>
          <w:sz w:val="24"/>
          <w:szCs w:val="24"/>
          <w:u w:val="single"/>
        </w:rPr>
        <w:t>DOCUMENTACIÓN</w:t>
      </w:r>
      <w:r w:rsidRPr="00A3025D">
        <w:rPr>
          <w:rFonts w:ascii="Garamond" w:hAnsi="Garamond"/>
          <w:sz w:val="24"/>
          <w:szCs w:val="24"/>
        </w:rPr>
        <w:t>: LA INDICADA EN EL CAPÍTULO DE PRUEBA</w:t>
      </w:r>
    </w:p>
    <w:p w:rsidR="0002779B" w:rsidRPr="00A3025D" w:rsidRDefault="0002779B" w:rsidP="00361804">
      <w:pPr>
        <w:spacing w:line="360" w:lineRule="auto"/>
        <w:jc w:val="both"/>
        <w:rPr>
          <w:rFonts w:ascii="Garamond" w:hAnsi="Garamond"/>
          <w:sz w:val="24"/>
          <w:szCs w:val="24"/>
        </w:rPr>
      </w:pPr>
    </w:p>
    <w:p w:rsidR="0002779B" w:rsidRPr="00A3025D" w:rsidRDefault="0002779B" w:rsidP="00361804">
      <w:pPr>
        <w:spacing w:line="360" w:lineRule="auto"/>
        <w:jc w:val="both"/>
        <w:rPr>
          <w:rFonts w:ascii="Garamond" w:hAnsi="Garamond"/>
          <w:sz w:val="24"/>
          <w:szCs w:val="24"/>
        </w:rPr>
      </w:pPr>
      <w:r w:rsidRPr="00A3025D">
        <w:rPr>
          <w:rFonts w:ascii="Garamond" w:hAnsi="Garamond"/>
          <w:sz w:val="24"/>
          <w:szCs w:val="24"/>
        </w:rPr>
        <w:t>Señor/a Juez/a:</w:t>
      </w:r>
    </w:p>
    <w:p w:rsidR="0002779B" w:rsidRPr="00A3025D" w:rsidRDefault="0002779B" w:rsidP="00AC38BE">
      <w:pPr>
        <w:spacing w:line="360" w:lineRule="auto"/>
        <w:ind w:firstLine="360"/>
        <w:jc w:val="both"/>
        <w:rPr>
          <w:rFonts w:ascii="Garamond" w:hAnsi="Garamond"/>
          <w:sz w:val="24"/>
          <w:szCs w:val="24"/>
        </w:rPr>
      </w:pPr>
      <w:proofErr w:type="spellStart"/>
      <w:r w:rsidRPr="00A3025D">
        <w:rPr>
          <w:rFonts w:ascii="Garamond" w:hAnsi="Garamond"/>
          <w:b/>
          <w:sz w:val="24"/>
          <w:szCs w:val="24"/>
        </w:rPr>
        <w:t>Dalile</w:t>
      </w:r>
      <w:proofErr w:type="spellEnd"/>
      <w:r w:rsidRPr="00A3025D">
        <w:rPr>
          <w:rFonts w:ascii="Garamond" w:hAnsi="Garamond"/>
          <w:b/>
          <w:sz w:val="24"/>
          <w:szCs w:val="24"/>
        </w:rPr>
        <w:t xml:space="preserve"> Antúnez</w:t>
      </w:r>
      <w:r w:rsidR="00086744">
        <w:rPr>
          <w:rFonts w:ascii="Garamond" w:hAnsi="Garamond"/>
          <w:b/>
          <w:sz w:val="24"/>
          <w:szCs w:val="24"/>
        </w:rPr>
        <w:t xml:space="preserve"> </w:t>
      </w:r>
      <w:r w:rsidR="00086744" w:rsidRPr="00086744">
        <w:rPr>
          <w:rFonts w:ascii="Garamond" w:hAnsi="Garamond"/>
          <w:sz w:val="24"/>
          <w:szCs w:val="24"/>
        </w:rPr>
        <w:t>(</w:t>
      </w:r>
      <w:r w:rsidR="00086744">
        <w:rPr>
          <w:rFonts w:ascii="Garamond" w:hAnsi="Garamond"/>
          <w:sz w:val="24"/>
          <w:szCs w:val="24"/>
        </w:rPr>
        <w:t xml:space="preserve">correo electrónico </w:t>
      </w:r>
      <w:hyperlink r:id="rId7" w:history="1">
        <w:r w:rsidR="00086744" w:rsidRPr="00367C0D">
          <w:rPr>
            <w:rStyle w:val="Hipervnculo"/>
            <w:rFonts w:ascii="Garamond" w:hAnsi="Garamond"/>
            <w:sz w:val="24"/>
            <w:szCs w:val="24"/>
          </w:rPr>
          <w:t>dantunez@acij.org.ar</w:t>
        </w:r>
      </w:hyperlink>
      <w:r w:rsidR="00086744">
        <w:rPr>
          <w:rFonts w:ascii="Garamond" w:hAnsi="Garamond"/>
          <w:sz w:val="24"/>
          <w:szCs w:val="24"/>
        </w:rPr>
        <w:t xml:space="preserve">; </w:t>
      </w:r>
      <w:proofErr w:type="spellStart"/>
      <w:r w:rsidR="00086744">
        <w:rPr>
          <w:rFonts w:ascii="Garamond" w:hAnsi="Garamond"/>
          <w:sz w:val="24"/>
          <w:szCs w:val="24"/>
        </w:rPr>
        <w:t>tel</w:t>
      </w:r>
      <w:proofErr w:type="spellEnd"/>
      <w:r w:rsidR="00086744">
        <w:rPr>
          <w:rFonts w:ascii="Garamond" w:hAnsi="Garamond"/>
          <w:sz w:val="24"/>
          <w:szCs w:val="24"/>
        </w:rPr>
        <w:t>- 1567303148)</w:t>
      </w:r>
      <w:r w:rsidRPr="00A3025D">
        <w:rPr>
          <w:rFonts w:ascii="Garamond" w:hAnsi="Garamond"/>
          <w:sz w:val="24"/>
          <w:szCs w:val="24"/>
        </w:rPr>
        <w:t xml:space="preserve">, en mi condición de apoderada de la </w:t>
      </w:r>
      <w:r w:rsidRPr="00A3025D">
        <w:rPr>
          <w:rFonts w:ascii="Garamond" w:hAnsi="Garamond"/>
          <w:b/>
          <w:sz w:val="24"/>
          <w:szCs w:val="24"/>
        </w:rPr>
        <w:t>Asociación Civil por la Igualdad y la Justicia (ACIJ)</w:t>
      </w:r>
      <w:r w:rsidRPr="00A3025D">
        <w:rPr>
          <w:rFonts w:ascii="Garamond" w:hAnsi="Garamond"/>
          <w:sz w:val="24"/>
          <w:szCs w:val="24"/>
        </w:rPr>
        <w:t xml:space="preserve">, conforme surge del poder que acompaño, con domicilio real en Avenida de Mayo 1161, piso 5° of. 9 y el patrocinio letrado de </w:t>
      </w:r>
      <w:r w:rsidRPr="00A3025D">
        <w:rPr>
          <w:rFonts w:ascii="Garamond" w:hAnsi="Garamond"/>
          <w:b/>
          <w:sz w:val="24"/>
          <w:szCs w:val="24"/>
        </w:rPr>
        <w:t xml:space="preserve">Renzo </w:t>
      </w:r>
      <w:proofErr w:type="spellStart"/>
      <w:r w:rsidRPr="00A3025D">
        <w:rPr>
          <w:rFonts w:ascii="Garamond" w:hAnsi="Garamond"/>
          <w:b/>
          <w:sz w:val="24"/>
          <w:szCs w:val="24"/>
        </w:rPr>
        <w:t>Lavin</w:t>
      </w:r>
      <w:proofErr w:type="spellEnd"/>
      <w:r w:rsidRPr="00A3025D">
        <w:rPr>
          <w:rFonts w:ascii="Garamond" w:hAnsi="Garamond"/>
          <w:sz w:val="24"/>
          <w:szCs w:val="24"/>
        </w:rPr>
        <w:t xml:space="preserve"> (abogado inscripto al Tomo 1</w:t>
      </w:r>
      <w:r w:rsidR="00BF22E5" w:rsidRPr="00A3025D">
        <w:rPr>
          <w:rFonts w:ascii="Garamond" w:hAnsi="Garamond"/>
          <w:sz w:val="24"/>
          <w:szCs w:val="24"/>
        </w:rPr>
        <w:t xml:space="preserve">17, Folio 302 del CPACF, </w:t>
      </w:r>
      <w:proofErr w:type="spellStart"/>
      <w:r w:rsidR="00BF22E5" w:rsidRPr="00A3025D">
        <w:rPr>
          <w:rFonts w:ascii="Garamond" w:hAnsi="Garamond"/>
          <w:sz w:val="24"/>
          <w:szCs w:val="24"/>
        </w:rPr>
        <w:t>m</w:t>
      </w:r>
      <w:r w:rsidRPr="00A3025D">
        <w:rPr>
          <w:rFonts w:ascii="Garamond" w:hAnsi="Garamond"/>
          <w:sz w:val="24"/>
          <w:szCs w:val="24"/>
        </w:rPr>
        <w:t>onotributista</w:t>
      </w:r>
      <w:proofErr w:type="spellEnd"/>
      <w:r w:rsidRPr="00A3025D">
        <w:rPr>
          <w:rFonts w:ascii="Garamond" w:hAnsi="Garamond"/>
          <w:sz w:val="24"/>
          <w:szCs w:val="24"/>
        </w:rPr>
        <w:t>, CUIT 20-31242259-0</w:t>
      </w:r>
      <w:r w:rsidR="00086744">
        <w:rPr>
          <w:rFonts w:ascii="Garamond" w:hAnsi="Garamond"/>
          <w:sz w:val="24"/>
          <w:szCs w:val="24"/>
        </w:rPr>
        <w:t xml:space="preserve">; correo electrónico </w:t>
      </w:r>
      <w:hyperlink r:id="rId8" w:history="1">
        <w:r w:rsidR="00086744" w:rsidRPr="00367C0D">
          <w:rPr>
            <w:rStyle w:val="Hipervnculo"/>
            <w:rFonts w:ascii="Garamond" w:hAnsi="Garamond"/>
            <w:sz w:val="24"/>
            <w:szCs w:val="24"/>
          </w:rPr>
          <w:t>rlavin@acij.org.ar</w:t>
        </w:r>
      </w:hyperlink>
      <w:r w:rsidR="00086744">
        <w:rPr>
          <w:rFonts w:ascii="Garamond" w:hAnsi="Garamond"/>
          <w:sz w:val="24"/>
          <w:szCs w:val="24"/>
        </w:rPr>
        <w:t>; tel. 1562903799</w:t>
      </w:r>
      <w:r w:rsidRPr="00A3025D">
        <w:rPr>
          <w:rFonts w:ascii="Garamond" w:hAnsi="Garamond"/>
          <w:sz w:val="24"/>
          <w:szCs w:val="24"/>
        </w:rPr>
        <w:t>), constituyendo domicilio procesal en el ya indicado, respetuosamente me presento y digo:</w:t>
      </w:r>
    </w:p>
    <w:p w:rsidR="00735882" w:rsidRPr="00A3025D" w:rsidRDefault="00361804" w:rsidP="00361804">
      <w:pPr>
        <w:pStyle w:val="Prrafodelista"/>
        <w:numPr>
          <w:ilvl w:val="0"/>
          <w:numId w:val="5"/>
        </w:numPr>
        <w:spacing w:line="360" w:lineRule="auto"/>
        <w:jc w:val="both"/>
        <w:rPr>
          <w:rFonts w:ascii="Garamond" w:hAnsi="Garamond"/>
          <w:b/>
          <w:sz w:val="24"/>
          <w:szCs w:val="24"/>
          <w:u w:val="single"/>
        </w:rPr>
      </w:pPr>
      <w:r w:rsidRPr="00A3025D">
        <w:rPr>
          <w:rFonts w:ascii="Garamond" w:hAnsi="Garamond"/>
          <w:b/>
          <w:sz w:val="24"/>
          <w:szCs w:val="24"/>
          <w:u w:val="single"/>
        </w:rPr>
        <w:t>Objeto</w:t>
      </w:r>
    </w:p>
    <w:p w:rsidR="00735882" w:rsidRPr="00A3025D" w:rsidRDefault="00361804" w:rsidP="0029320C">
      <w:pPr>
        <w:spacing w:line="360" w:lineRule="auto"/>
        <w:ind w:firstLine="360"/>
        <w:jc w:val="both"/>
        <w:rPr>
          <w:rFonts w:ascii="Garamond" w:hAnsi="Garamond"/>
          <w:sz w:val="24"/>
          <w:szCs w:val="24"/>
        </w:rPr>
      </w:pPr>
      <w:r w:rsidRPr="00A3025D">
        <w:rPr>
          <w:rFonts w:ascii="Garamond" w:hAnsi="Garamond"/>
          <w:sz w:val="24"/>
          <w:szCs w:val="24"/>
        </w:rPr>
        <w:t>En el carácter in</w:t>
      </w:r>
      <w:r w:rsidR="005A5D91" w:rsidRPr="00A3025D">
        <w:rPr>
          <w:rFonts w:ascii="Garamond" w:hAnsi="Garamond"/>
          <w:sz w:val="24"/>
          <w:szCs w:val="24"/>
        </w:rPr>
        <w:t xml:space="preserve">vocado, interpongo esta medida </w:t>
      </w:r>
      <w:proofErr w:type="spellStart"/>
      <w:r w:rsidR="005A5D91" w:rsidRPr="00A3025D">
        <w:rPr>
          <w:rFonts w:ascii="Garamond" w:hAnsi="Garamond"/>
          <w:sz w:val="24"/>
          <w:szCs w:val="24"/>
        </w:rPr>
        <w:t>autosatisfactiva</w:t>
      </w:r>
      <w:proofErr w:type="spellEnd"/>
      <w:r w:rsidRPr="00A3025D">
        <w:rPr>
          <w:rFonts w:ascii="Garamond" w:hAnsi="Garamond"/>
          <w:sz w:val="24"/>
          <w:szCs w:val="24"/>
        </w:rPr>
        <w:t xml:space="preserve"> con el objeto de que el Tribunal ordene al Gobierno de la Ciudad de Buenos Aires</w:t>
      </w:r>
      <w:r w:rsidR="00601252" w:rsidRPr="00A3025D">
        <w:rPr>
          <w:rFonts w:ascii="Garamond" w:hAnsi="Garamond"/>
          <w:sz w:val="24"/>
          <w:szCs w:val="24"/>
        </w:rPr>
        <w:t xml:space="preserve"> (Poder Ejecutivo) </w:t>
      </w:r>
      <w:r w:rsidR="00F268DF" w:rsidRPr="00A3025D">
        <w:rPr>
          <w:rFonts w:ascii="Garamond" w:hAnsi="Garamond"/>
          <w:sz w:val="24"/>
          <w:szCs w:val="24"/>
        </w:rPr>
        <w:t>p</w:t>
      </w:r>
      <w:r w:rsidR="00601252" w:rsidRPr="00A3025D">
        <w:rPr>
          <w:rFonts w:ascii="Garamond" w:hAnsi="Garamond"/>
          <w:sz w:val="24"/>
          <w:szCs w:val="24"/>
        </w:rPr>
        <w:t>resentar</w:t>
      </w:r>
      <w:r w:rsidRPr="00A3025D">
        <w:rPr>
          <w:rFonts w:ascii="Garamond" w:hAnsi="Garamond"/>
          <w:sz w:val="24"/>
          <w:szCs w:val="24"/>
        </w:rPr>
        <w:t xml:space="preserve"> de manera inmediata </w:t>
      </w:r>
      <w:r w:rsidR="00F268DF" w:rsidRPr="00A3025D">
        <w:rPr>
          <w:rFonts w:ascii="Garamond" w:hAnsi="Garamond"/>
          <w:sz w:val="24"/>
          <w:szCs w:val="24"/>
        </w:rPr>
        <w:t xml:space="preserve">a la Legislatura de la Ciudad </w:t>
      </w:r>
      <w:r w:rsidRPr="00A3025D">
        <w:rPr>
          <w:rFonts w:ascii="Garamond" w:hAnsi="Garamond"/>
          <w:sz w:val="24"/>
          <w:szCs w:val="24"/>
        </w:rPr>
        <w:t>el proyecto de ley de presupuesto para el ejercicio fiscal 2016, junto co</w:t>
      </w:r>
      <w:r w:rsidR="00601252" w:rsidRPr="00A3025D">
        <w:rPr>
          <w:rFonts w:ascii="Garamond" w:hAnsi="Garamond"/>
          <w:sz w:val="24"/>
          <w:szCs w:val="24"/>
        </w:rPr>
        <w:t>n su fundamentación y</w:t>
      </w:r>
      <w:r w:rsidRPr="00A3025D">
        <w:rPr>
          <w:rFonts w:ascii="Garamond" w:hAnsi="Garamond"/>
          <w:sz w:val="24"/>
          <w:szCs w:val="24"/>
        </w:rPr>
        <w:t xml:space="preserve"> todos los anexos y p</w:t>
      </w:r>
      <w:r w:rsidR="005F3F0A" w:rsidRPr="00A3025D">
        <w:rPr>
          <w:rFonts w:ascii="Garamond" w:hAnsi="Garamond"/>
          <w:sz w:val="24"/>
          <w:szCs w:val="24"/>
        </w:rPr>
        <w:t>lanillas complementaria</w:t>
      </w:r>
      <w:r w:rsidRPr="00A3025D">
        <w:rPr>
          <w:rFonts w:ascii="Garamond" w:hAnsi="Garamond"/>
          <w:sz w:val="24"/>
          <w:szCs w:val="24"/>
        </w:rPr>
        <w:t>s de dicho proyecto</w:t>
      </w:r>
      <w:r w:rsidR="00F268DF" w:rsidRPr="00A3025D">
        <w:rPr>
          <w:rFonts w:ascii="Garamond" w:hAnsi="Garamond"/>
          <w:sz w:val="24"/>
          <w:szCs w:val="24"/>
        </w:rPr>
        <w:t>.</w:t>
      </w:r>
    </w:p>
    <w:p w:rsidR="00F268DF" w:rsidRDefault="00F268DF" w:rsidP="0029320C">
      <w:pPr>
        <w:spacing w:line="360" w:lineRule="auto"/>
        <w:ind w:firstLine="360"/>
        <w:jc w:val="both"/>
        <w:rPr>
          <w:rFonts w:ascii="Garamond" w:hAnsi="Garamond"/>
          <w:sz w:val="24"/>
          <w:szCs w:val="24"/>
        </w:rPr>
      </w:pPr>
      <w:r w:rsidRPr="00A3025D">
        <w:rPr>
          <w:rFonts w:ascii="Garamond" w:hAnsi="Garamond"/>
          <w:sz w:val="24"/>
          <w:szCs w:val="24"/>
        </w:rPr>
        <w:t xml:space="preserve">Para el caso </w:t>
      </w:r>
      <w:r w:rsidR="00074DC8">
        <w:rPr>
          <w:rFonts w:ascii="Garamond" w:hAnsi="Garamond"/>
          <w:sz w:val="24"/>
          <w:szCs w:val="24"/>
        </w:rPr>
        <w:t xml:space="preserve">hipotético </w:t>
      </w:r>
      <w:r w:rsidRPr="00A3025D">
        <w:rPr>
          <w:rFonts w:ascii="Garamond" w:hAnsi="Garamond"/>
          <w:sz w:val="24"/>
          <w:szCs w:val="24"/>
        </w:rPr>
        <w:t>de que al momento de reso</w:t>
      </w:r>
      <w:r w:rsidR="0071334C" w:rsidRPr="00A3025D">
        <w:rPr>
          <w:rFonts w:ascii="Garamond" w:hAnsi="Garamond"/>
          <w:sz w:val="24"/>
          <w:szCs w:val="24"/>
        </w:rPr>
        <w:t>lución de la presente medida el</w:t>
      </w:r>
      <w:r w:rsidRPr="00A3025D">
        <w:rPr>
          <w:rFonts w:ascii="Garamond" w:hAnsi="Garamond"/>
          <w:sz w:val="24"/>
          <w:szCs w:val="24"/>
        </w:rPr>
        <w:t xml:space="preserve"> pro</w:t>
      </w:r>
      <w:r w:rsidR="00074DC8">
        <w:rPr>
          <w:rFonts w:ascii="Garamond" w:hAnsi="Garamond"/>
          <w:sz w:val="24"/>
          <w:szCs w:val="24"/>
        </w:rPr>
        <w:t xml:space="preserve">yecto ya haya sido presentado en forma completa, </w:t>
      </w:r>
      <w:r w:rsidR="0029320C" w:rsidRPr="00A3025D">
        <w:rPr>
          <w:rFonts w:ascii="Garamond" w:hAnsi="Garamond"/>
          <w:sz w:val="24"/>
          <w:szCs w:val="24"/>
        </w:rPr>
        <w:t>con todos</w:t>
      </w:r>
      <w:r w:rsidR="0071334C" w:rsidRPr="00A3025D">
        <w:rPr>
          <w:rFonts w:ascii="Garamond" w:hAnsi="Garamond"/>
          <w:sz w:val="24"/>
          <w:szCs w:val="24"/>
        </w:rPr>
        <w:t xml:space="preserve"> </w:t>
      </w:r>
      <w:r w:rsidR="00074DC8">
        <w:rPr>
          <w:rFonts w:ascii="Garamond" w:hAnsi="Garamond"/>
          <w:sz w:val="24"/>
          <w:szCs w:val="24"/>
        </w:rPr>
        <w:t>los documentos que lo integran</w:t>
      </w:r>
      <w:r w:rsidR="0029320C" w:rsidRPr="00A3025D">
        <w:rPr>
          <w:rFonts w:ascii="Garamond" w:hAnsi="Garamond"/>
          <w:sz w:val="24"/>
          <w:szCs w:val="24"/>
        </w:rPr>
        <w:t xml:space="preserve">, solicito que el Tribunal declare </w:t>
      </w:r>
      <w:r w:rsidR="00074DC8">
        <w:rPr>
          <w:rFonts w:ascii="Garamond" w:hAnsi="Garamond"/>
          <w:sz w:val="24"/>
          <w:szCs w:val="24"/>
        </w:rPr>
        <w:t xml:space="preserve">la inconstitucionalidad de la omisión de presentar el proyecto de Ley de Presupuesto con anterioridad al 30 de Septiembre, y que declare que </w:t>
      </w:r>
      <w:r w:rsidR="0029320C" w:rsidRPr="00A3025D">
        <w:rPr>
          <w:rFonts w:ascii="Garamond" w:hAnsi="Garamond"/>
          <w:sz w:val="24"/>
          <w:szCs w:val="24"/>
        </w:rPr>
        <w:t>el Poder Ejecutivo ha violado sus deberes constitucionales al no respetar el plazo normativamente fijado para la remisión d</w:t>
      </w:r>
      <w:r w:rsidR="00074DC8">
        <w:rPr>
          <w:rFonts w:ascii="Garamond" w:hAnsi="Garamond"/>
          <w:sz w:val="24"/>
          <w:szCs w:val="24"/>
        </w:rPr>
        <w:t xml:space="preserve">el proyecto de ley en cuestión, violando los derechos constitucionales de las y los habitantes de la </w:t>
      </w:r>
      <w:r w:rsidR="00074DC8">
        <w:rPr>
          <w:rFonts w:ascii="Garamond" w:hAnsi="Garamond"/>
          <w:sz w:val="24"/>
          <w:szCs w:val="24"/>
        </w:rPr>
        <w:lastRenderedPageBreak/>
        <w:t>Ciudad. Solicitamos</w:t>
      </w:r>
      <w:r w:rsidR="0029320C" w:rsidRPr="00A3025D">
        <w:rPr>
          <w:rFonts w:ascii="Garamond" w:hAnsi="Garamond"/>
          <w:sz w:val="24"/>
          <w:szCs w:val="24"/>
        </w:rPr>
        <w:t>, asimismo,</w:t>
      </w:r>
      <w:r w:rsidR="00074DC8">
        <w:rPr>
          <w:rFonts w:ascii="Garamond" w:hAnsi="Garamond"/>
          <w:sz w:val="24"/>
          <w:szCs w:val="24"/>
        </w:rPr>
        <w:t xml:space="preserve"> que</w:t>
      </w:r>
      <w:r w:rsidR="0029320C" w:rsidRPr="00A3025D">
        <w:rPr>
          <w:rFonts w:ascii="Garamond" w:hAnsi="Garamond"/>
          <w:sz w:val="24"/>
          <w:szCs w:val="24"/>
        </w:rPr>
        <w:t xml:space="preserve"> </w:t>
      </w:r>
      <w:r w:rsidR="004B6AFE" w:rsidRPr="00A3025D">
        <w:rPr>
          <w:rFonts w:ascii="Garamond" w:hAnsi="Garamond"/>
          <w:sz w:val="24"/>
          <w:szCs w:val="24"/>
        </w:rPr>
        <w:t xml:space="preserve">exhorte </w:t>
      </w:r>
      <w:r w:rsidR="00FD7F88" w:rsidRPr="00A3025D">
        <w:rPr>
          <w:rFonts w:ascii="Garamond" w:hAnsi="Garamond"/>
          <w:sz w:val="24"/>
          <w:szCs w:val="24"/>
        </w:rPr>
        <w:t xml:space="preserve">al Poder Ejecutivo </w:t>
      </w:r>
      <w:r w:rsidR="004B6AFE" w:rsidRPr="00A3025D">
        <w:rPr>
          <w:rFonts w:ascii="Garamond" w:hAnsi="Garamond"/>
          <w:sz w:val="24"/>
          <w:szCs w:val="24"/>
        </w:rPr>
        <w:t xml:space="preserve">a respetar en término </w:t>
      </w:r>
      <w:r w:rsidR="00FD7F88" w:rsidRPr="00A3025D">
        <w:rPr>
          <w:rFonts w:ascii="Garamond" w:hAnsi="Garamond"/>
          <w:sz w:val="24"/>
          <w:szCs w:val="24"/>
        </w:rPr>
        <w:t xml:space="preserve">su obligación </w:t>
      </w:r>
      <w:r w:rsidR="004B6AFE" w:rsidRPr="00A3025D">
        <w:rPr>
          <w:rFonts w:ascii="Garamond" w:hAnsi="Garamond"/>
          <w:sz w:val="24"/>
          <w:szCs w:val="24"/>
        </w:rPr>
        <w:t>para los ejercicios fiscales futuros.</w:t>
      </w:r>
    </w:p>
    <w:p w:rsidR="008708C5" w:rsidRPr="00A3025D" w:rsidRDefault="00E6047A" w:rsidP="00E6047A">
      <w:pPr>
        <w:spacing w:line="360" w:lineRule="auto"/>
        <w:ind w:firstLine="360"/>
        <w:jc w:val="both"/>
        <w:rPr>
          <w:rFonts w:ascii="Garamond" w:hAnsi="Garamond"/>
          <w:sz w:val="24"/>
          <w:szCs w:val="24"/>
        </w:rPr>
      </w:pPr>
      <w:r>
        <w:rPr>
          <w:rFonts w:ascii="Garamond" w:hAnsi="Garamond"/>
          <w:sz w:val="24"/>
          <w:szCs w:val="24"/>
        </w:rPr>
        <w:t>Todo ello, por la afectación que general la omisión de presentar el proyecto de ley en término a los derechos de acceso a la información pública, a la participación, y al debido proceso presupuestario.</w:t>
      </w:r>
    </w:p>
    <w:p w:rsidR="00B95201" w:rsidRPr="00A3025D" w:rsidRDefault="00B95201" w:rsidP="00B95201">
      <w:pPr>
        <w:pStyle w:val="Prrafodelista"/>
        <w:numPr>
          <w:ilvl w:val="0"/>
          <w:numId w:val="5"/>
        </w:numPr>
        <w:spacing w:line="360" w:lineRule="auto"/>
        <w:jc w:val="both"/>
        <w:rPr>
          <w:rFonts w:ascii="Garamond" w:hAnsi="Garamond"/>
          <w:b/>
          <w:sz w:val="24"/>
          <w:szCs w:val="24"/>
          <w:u w:val="single"/>
        </w:rPr>
      </w:pPr>
      <w:r w:rsidRPr="00A3025D">
        <w:rPr>
          <w:rFonts w:ascii="Garamond" w:hAnsi="Garamond"/>
          <w:b/>
          <w:sz w:val="24"/>
          <w:szCs w:val="24"/>
          <w:u w:val="single"/>
        </w:rPr>
        <w:t>Personería de la Asociación Civil por la Igualdad y la Justicia</w:t>
      </w:r>
    </w:p>
    <w:p w:rsidR="0029320C" w:rsidRPr="00A3025D" w:rsidRDefault="004F2188" w:rsidP="004F2188">
      <w:pPr>
        <w:pStyle w:val="Normal1"/>
        <w:spacing w:line="360" w:lineRule="auto"/>
        <w:ind w:firstLine="851"/>
        <w:jc w:val="both"/>
        <w:rPr>
          <w:rFonts w:ascii="Garamond" w:eastAsia="Times New Roman" w:hAnsi="Garamond" w:cs="Times New Roman"/>
          <w:color w:val="auto"/>
          <w:sz w:val="24"/>
          <w:szCs w:val="24"/>
        </w:rPr>
      </w:pPr>
      <w:r w:rsidRPr="00A3025D">
        <w:rPr>
          <w:rFonts w:ascii="Garamond" w:eastAsia="Times New Roman" w:hAnsi="Garamond" w:cs="Times New Roman"/>
          <w:color w:val="auto"/>
          <w:sz w:val="24"/>
          <w:szCs w:val="24"/>
          <w:highlight w:val="white"/>
        </w:rPr>
        <w:t xml:space="preserve">La Asociación Civil por la Igualdad y la Justicia (en adelante, “ACIJ”) se encuentra autorizada para funcionar con carácter de persona jurídica (artículos 148 y 168 del Código Civil y Comercial) </w:t>
      </w:r>
      <w:r w:rsidRPr="00A3025D">
        <w:rPr>
          <w:rFonts w:ascii="Garamond" w:eastAsia="Times New Roman" w:hAnsi="Garamond" w:cs="Times New Roman"/>
          <w:color w:val="auto"/>
          <w:sz w:val="24"/>
          <w:szCs w:val="24"/>
        </w:rPr>
        <w:t>con domicilio en la Ciudad Autónoma de Buenos Aires,</w:t>
      </w:r>
      <w:r w:rsidRPr="00A3025D">
        <w:rPr>
          <w:rFonts w:ascii="Garamond" w:eastAsia="Times New Roman" w:hAnsi="Garamond" w:cs="Times New Roman"/>
          <w:color w:val="auto"/>
          <w:sz w:val="24"/>
          <w:szCs w:val="24"/>
          <w:highlight w:val="white"/>
        </w:rPr>
        <w:t xml:space="preserve"> conforme a la Resolución de la Inspección General de Justicia nº 231/03, de fecha 12 de marzo de 2003.</w:t>
      </w:r>
      <w:r w:rsidR="000C6DC6" w:rsidRPr="00A3025D">
        <w:rPr>
          <w:rFonts w:ascii="Garamond" w:eastAsia="Times New Roman" w:hAnsi="Garamond" w:cs="Times New Roman"/>
          <w:color w:val="auto"/>
          <w:sz w:val="24"/>
          <w:szCs w:val="24"/>
          <w:highlight w:val="white"/>
        </w:rPr>
        <w:t xml:space="preserve"> La documentación que acredita</w:t>
      </w:r>
      <w:r w:rsidRPr="00A3025D">
        <w:rPr>
          <w:rFonts w:ascii="Garamond" w:eastAsia="Times New Roman" w:hAnsi="Garamond" w:cs="Times New Roman"/>
          <w:color w:val="auto"/>
          <w:sz w:val="24"/>
          <w:szCs w:val="24"/>
          <w:highlight w:val="white"/>
        </w:rPr>
        <w:t xml:space="preserve"> la personería consiste en el Acta Fundacional, el Estatuto de la organización y l</w:t>
      </w:r>
      <w:r w:rsidR="00067CE4" w:rsidRPr="00A3025D">
        <w:rPr>
          <w:rFonts w:ascii="Garamond" w:eastAsia="Times New Roman" w:hAnsi="Garamond" w:cs="Times New Roman"/>
          <w:color w:val="auto"/>
          <w:sz w:val="24"/>
          <w:szCs w:val="24"/>
          <w:highlight w:val="white"/>
        </w:rPr>
        <w:t>a Resolución antes citada, de las</w:t>
      </w:r>
      <w:r w:rsidRPr="00A3025D">
        <w:rPr>
          <w:rFonts w:ascii="Garamond" w:eastAsia="Times New Roman" w:hAnsi="Garamond" w:cs="Times New Roman"/>
          <w:color w:val="auto"/>
          <w:sz w:val="24"/>
          <w:szCs w:val="24"/>
          <w:highlight w:val="white"/>
        </w:rPr>
        <w:t xml:space="preserve"> que se adjuntan copias simples. Asimismo, se acompaña copia del poder general para</w:t>
      </w:r>
      <w:r w:rsidR="00272BB2" w:rsidRPr="00A3025D">
        <w:rPr>
          <w:rFonts w:ascii="Garamond" w:eastAsia="Times New Roman" w:hAnsi="Garamond" w:cs="Times New Roman"/>
          <w:color w:val="auto"/>
          <w:sz w:val="24"/>
          <w:szCs w:val="24"/>
          <w:highlight w:val="white"/>
        </w:rPr>
        <w:t xml:space="preserve"> juicio que me designa apoderada</w:t>
      </w:r>
      <w:r w:rsidRPr="00A3025D">
        <w:rPr>
          <w:rFonts w:ascii="Garamond" w:eastAsia="Times New Roman" w:hAnsi="Garamond" w:cs="Times New Roman"/>
          <w:color w:val="auto"/>
          <w:sz w:val="24"/>
          <w:szCs w:val="24"/>
          <w:highlight w:val="white"/>
        </w:rPr>
        <w:t xml:space="preserve"> de la asociación, que declaro también vigente y fiel en todos sus términos.</w:t>
      </w:r>
    </w:p>
    <w:p w:rsidR="004F2188" w:rsidRPr="00A3025D" w:rsidRDefault="004F2188" w:rsidP="004F2188">
      <w:pPr>
        <w:pStyle w:val="Normal1"/>
        <w:spacing w:line="360" w:lineRule="auto"/>
        <w:ind w:firstLine="851"/>
        <w:jc w:val="both"/>
        <w:rPr>
          <w:rFonts w:ascii="Garamond" w:hAnsi="Garamond"/>
          <w:color w:val="auto"/>
          <w:sz w:val="24"/>
          <w:szCs w:val="24"/>
        </w:rPr>
      </w:pPr>
    </w:p>
    <w:p w:rsidR="00735882" w:rsidRPr="00A3025D" w:rsidRDefault="0035649A" w:rsidP="00B113D6">
      <w:pPr>
        <w:pStyle w:val="Prrafodelista"/>
        <w:numPr>
          <w:ilvl w:val="0"/>
          <w:numId w:val="5"/>
        </w:numPr>
        <w:spacing w:line="360" w:lineRule="auto"/>
        <w:jc w:val="both"/>
        <w:rPr>
          <w:rFonts w:ascii="Garamond" w:hAnsi="Garamond"/>
          <w:b/>
          <w:sz w:val="24"/>
          <w:szCs w:val="24"/>
          <w:u w:val="single"/>
        </w:rPr>
      </w:pPr>
      <w:r w:rsidRPr="00A3025D">
        <w:rPr>
          <w:rFonts w:ascii="Garamond" w:hAnsi="Garamond"/>
          <w:b/>
          <w:sz w:val="24"/>
          <w:szCs w:val="24"/>
          <w:u w:val="single"/>
        </w:rPr>
        <w:t>Hec</w:t>
      </w:r>
      <w:r w:rsidR="00B113D6" w:rsidRPr="00A3025D">
        <w:rPr>
          <w:rFonts w:ascii="Garamond" w:hAnsi="Garamond"/>
          <w:b/>
          <w:sz w:val="24"/>
          <w:szCs w:val="24"/>
          <w:u w:val="single"/>
        </w:rPr>
        <w:t>hos y encuadre normativo</w:t>
      </w:r>
      <w:r w:rsidR="00F24C98" w:rsidRPr="00A3025D">
        <w:rPr>
          <w:rFonts w:ascii="Garamond" w:hAnsi="Garamond"/>
          <w:b/>
          <w:sz w:val="24"/>
          <w:szCs w:val="24"/>
          <w:u w:val="single"/>
        </w:rPr>
        <w:t xml:space="preserve"> del caso</w:t>
      </w:r>
    </w:p>
    <w:p w:rsidR="00A3025D" w:rsidRDefault="00B113D6" w:rsidP="006F6C7C">
      <w:pPr>
        <w:spacing w:line="360" w:lineRule="auto"/>
        <w:ind w:firstLine="360"/>
        <w:jc w:val="both"/>
        <w:rPr>
          <w:rFonts w:ascii="Garamond" w:hAnsi="Garamond"/>
          <w:sz w:val="24"/>
          <w:szCs w:val="24"/>
        </w:rPr>
      </w:pPr>
      <w:r w:rsidRPr="00A3025D">
        <w:rPr>
          <w:rFonts w:ascii="Garamond" w:hAnsi="Garamond"/>
          <w:sz w:val="24"/>
          <w:szCs w:val="24"/>
        </w:rPr>
        <w:t xml:space="preserve">De acuerdo con el artículo 53 de la Constitución local, </w:t>
      </w:r>
      <w:r w:rsidR="007F5F88" w:rsidRPr="00A3025D">
        <w:rPr>
          <w:rFonts w:ascii="Garamond" w:hAnsi="Garamond"/>
          <w:sz w:val="24"/>
          <w:szCs w:val="24"/>
        </w:rPr>
        <w:t>“</w:t>
      </w:r>
      <w:r w:rsidR="007145DE" w:rsidRPr="00A3025D">
        <w:rPr>
          <w:rFonts w:ascii="Garamond" w:hAnsi="Garamond"/>
          <w:sz w:val="24"/>
          <w:szCs w:val="24"/>
        </w:rPr>
        <w:t>[</w:t>
      </w:r>
      <w:r w:rsidR="007F5F88" w:rsidRPr="00A3025D">
        <w:rPr>
          <w:rFonts w:ascii="Garamond" w:hAnsi="Garamond"/>
          <w:sz w:val="24"/>
          <w:szCs w:val="24"/>
        </w:rPr>
        <w:t>e</w:t>
      </w:r>
      <w:r w:rsidR="007145DE" w:rsidRPr="00A3025D">
        <w:rPr>
          <w:rFonts w:ascii="Garamond" w:hAnsi="Garamond"/>
          <w:sz w:val="24"/>
          <w:szCs w:val="24"/>
        </w:rPr>
        <w:t>]</w:t>
      </w:r>
      <w:r w:rsidR="007F5F88" w:rsidRPr="00A3025D">
        <w:rPr>
          <w:rFonts w:ascii="Garamond" w:hAnsi="Garamond"/>
          <w:sz w:val="24"/>
          <w:szCs w:val="24"/>
        </w:rPr>
        <w:t>l proyecto de ley de presupuesto debe ser presentado ante el Poder Legislativo por el Poder Ejecutivo, antes del 30 de setiembre del año anterior al de su vigencia</w:t>
      </w:r>
      <w:r w:rsidR="00F24C98" w:rsidRPr="00A3025D">
        <w:rPr>
          <w:rFonts w:ascii="Garamond" w:hAnsi="Garamond"/>
          <w:sz w:val="24"/>
          <w:szCs w:val="24"/>
        </w:rPr>
        <w:t>”. La ley 70 de Administración F</w:t>
      </w:r>
      <w:r w:rsidR="007F5F88" w:rsidRPr="00A3025D">
        <w:rPr>
          <w:rFonts w:ascii="Garamond" w:hAnsi="Garamond"/>
          <w:sz w:val="24"/>
          <w:szCs w:val="24"/>
        </w:rPr>
        <w:t xml:space="preserve">inanciera confirma este clarísimo deber del Poder Ejecutivo </w:t>
      </w:r>
      <w:r w:rsidR="007145DE" w:rsidRPr="00A3025D">
        <w:rPr>
          <w:rFonts w:ascii="Garamond" w:hAnsi="Garamond"/>
          <w:sz w:val="24"/>
          <w:szCs w:val="24"/>
        </w:rPr>
        <w:t>al determinar que “[e]l Poder Ejecutivo presenta el Proyecto de Ley de Presupuesto General a la Legislatura, antes del 30 de septiembre del año anterior para el que rige, acompañado de un mensaje que contiene una relación de los objetivos que se propone alcanzar y las explicaciones de la metodología utilizada para las estimaciones de recursos y para la determinación de las autorizaciones para gastar, así como las demás informaciones y elementos de juicio que estime oportunos</w:t>
      </w:r>
      <w:r w:rsidR="005F3F0A" w:rsidRPr="00A3025D">
        <w:rPr>
          <w:rFonts w:ascii="Garamond" w:hAnsi="Garamond"/>
          <w:sz w:val="24"/>
          <w:szCs w:val="24"/>
        </w:rPr>
        <w:t>”</w:t>
      </w:r>
      <w:r w:rsidR="007145DE" w:rsidRPr="00A3025D">
        <w:rPr>
          <w:rFonts w:ascii="Garamond" w:hAnsi="Garamond"/>
          <w:sz w:val="24"/>
          <w:szCs w:val="24"/>
        </w:rPr>
        <w:t>.</w:t>
      </w:r>
      <w:r w:rsidR="00A3025D">
        <w:rPr>
          <w:rFonts w:ascii="Garamond" w:hAnsi="Garamond"/>
          <w:sz w:val="24"/>
          <w:szCs w:val="24"/>
        </w:rPr>
        <w:t xml:space="preserve"> </w:t>
      </w:r>
    </w:p>
    <w:p w:rsidR="008708C5" w:rsidRPr="00406222" w:rsidRDefault="008708C5" w:rsidP="00406222">
      <w:pPr>
        <w:spacing w:line="360" w:lineRule="auto"/>
        <w:ind w:firstLine="360"/>
        <w:jc w:val="both"/>
        <w:rPr>
          <w:rFonts w:ascii="Garamond" w:hAnsi="Garamond"/>
          <w:sz w:val="24"/>
          <w:szCs w:val="24"/>
        </w:rPr>
      </w:pPr>
      <w:r w:rsidRPr="00A3025D">
        <w:rPr>
          <w:rFonts w:ascii="Garamond" w:hAnsi="Garamond"/>
          <w:sz w:val="24"/>
          <w:szCs w:val="24"/>
        </w:rPr>
        <w:t>El artículo 49 de la Ley 70 determina, a su vez, que “</w:t>
      </w:r>
      <w:r w:rsidRPr="00A3025D">
        <w:rPr>
          <w:rFonts w:ascii="Garamond" w:eastAsia="Times New Roman" w:hAnsi="Garamond" w:cs="Times New Roman"/>
          <w:color w:val="000000"/>
          <w:sz w:val="24"/>
          <w:szCs w:val="24"/>
          <w:lang w:eastAsia="es-AR"/>
        </w:rPr>
        <w:t>El proyecto de Ley debe contener, como mínimo, la siguientes informaciones</w:t>
      </w:r>
      <w:r w:rsidR="00945C8C">
        <w:rPr>
          <w:rFonts w:ascii="Garamond" w:eastAsia="Times New Roman" w:hAnsi="Garamond" w:cs="Times New Roman"/>
          <w:color w:val="000000"/>
          <w:sz w:val="24"/>
          <w:szCs w:val="24"/>
          <w:lang w:eastAsia="es-AR"/>
        </w:rPr>
        <w:t xml:space="preserve">: </w:t>
      </w:r>
      <w:r w:rsidR="00945C8C">
        <w:rPr>
          <w:rFonts w:ascii="Garamond" w:hAnsi="Garamond"/>
          <w:sz w:val="24"/>
          <w:szCs w:val="24"/>
        </w:rPr>
        <w:t xml:space="preserve">(a) </w:t>
      </w:r>
      <w:r w:rsidRPr="00A3025D">
        <w:rPr>
          <w:rFonts w:ascii="Garamond" w:eastAsia="Times New Roman" w:hAnsi="Garamond" w:cs="Times New Roman"/>
          <w:color w:val="000000"/>
          <w:sz w:val="24"/>
          <w:szCs w:val="24"/>
          <w:lang w:eastAsia="es-AR"/>
        </w:rPr>
        <w:t>Presupuesto de Recursos de la Administración Central, de cada uno de los Organismos Descentralizados y Entes Autárquicos, clasificados por r</w:t>
      </w:r>
      <w:r w:rsidR="00945C8C">
        <w:rPr>
          <w:rFonts w:ascii="Garamond" w:eastAsia="Times New Roman" w:hAnsi="Garamond" w:cs="Times New Roman"/>
          <w:color w:val="000000"/>
          <w:sz w:val="24"/>
          <w:szCs w:val="24"/>
          <w:lang w:eastAsia="es-AR"/>
        </w:rPr>
        <w:t xml:space="preserve">ubros e </w:t>
      </w:r>
      <w:r w:rsidR="00945C8C">
        <w:rPr>
          <w:rFonts w:ascii="Garamond" w:eastAsia="Times New Roman" w:hAnsi="Garamond" w:cs="Times New Roman"/>
          <w:color w:val="000000"/>
          <w:sz w:val="24"/>
          <w:szCs w:val="24"/>
          <w:lang w:eastAsia="es-AR"/>
        </w:rPr>
        <w:lastRenderedPageBreak/>
        <w:t xml:space="preserve">imputados por trimestre; (b) </w:t>
      </w:r>
      <w:r w:rsidRPr="00A3025D">
        <w:rPr>
          <w:rFonts w:ascii="Garamond" w:eastAsia="Times New Roman" w:hAnsi="Garamond" w:cs="Times New Roman"/>
          <w:color w:val="000000"/>
          <w:sz w:val="24"/>
          <w:szCs w:val="24"/>
          <w:lang w:eastAsia="es-AR"/>
        </w:rPr>
        <w:t xml:space="preserve">Presupuestos de Gastos de cada una de las jurisdicciones, organismos descentralizados y entes autárquicos, los que identificarán programas, objetivos y producción. Se imputarán los compromisos de gastos trimestralmente y se estimarán para los mismos períodos, los </w:t>
      </w:r>
      <w:proofErr w:type="spellStart"/>
      <w:r w:rsidRPr="00A3025D">
        <w:rPr>
          <w:rFonts w:ascii="Garamond" w:eastAsia="Times New Roman" w:hAnsi="Garamond" w:cs="Times New Roman"/>
          <w:color w:val="000000"/>
          <w:sz w:val="24"/>
          <w:szCs w:val="24"/>
          <w:lang w:eastAsia="es-AR"/>
        </w:rPr>
        <w:t>devenga</w:t>
      </w:r>
      <w:r w:rsidR="00945C8C">
        <w:rPr>
          <w:rFonts w:ascii="Garamond" w:eastAsia="Times New Roman" w:hAnsi="Garamond" w:cs="Times New Roman"/>
          <w:color w:val="000000"/>
          <w:sz w:val="24"/>
          <w:szCs w:val="24"/>
          <w:lang w:eastAsia="es-AR"/>
        </w:rPr>
        <w:t>mientos</w:t>
      </w:r>
      <w:proofErr w:type="spellEnd"/>
      <w:r w:rsidR="00945C8C">
        <w:rPr>
          <w:rFonts w:ascii="Garamond" w:eastAsia="Times New Roman" w:hAnsi="Garamond" w:cs="Times New Roman"/>
          <w:color w:val="000000"/>
          <w:sz w:val="24"/>
          <w:szCs w:val="24"/>
          <w:lang w:eastAsia="es-AR"/>
        </w:rPr>
        <w:t xml:space="preserve"> y liquidaciones finales; (c) </w:t>
      </w:r>
      <w:r w:rsidRPr="00A3025D">
        <w:rPr>
          <w:rFonts w:ascii="Garamond" w:eastAsia="Times New Roman" w:hAnsi="Garamond" w:cs="Times New Roman"/>
          <w:color w:val="000000"/>
          <w:sz w:val="24"/>
          <w:szCs w:val="24"/>
          <w:lang w:eastAsia="es-AR"/>
        </w:rPr>
        <w:t>Créditos presupuestarios asignados a cada uno de los proyectos de inversión y programas que se prevén ejecut</w:t>
      </w:r>
      <w:r w:rsidR="00945C8C">
        <w:rPr>
          <w:rFonts w:ascii="Garamond" w:eastAsia="Times New Roman" w:hAnsi="Garamond" w:cs="Times New Roman"/>
          <w:color w:val="000000"/>
          <w:sz w:val="24"/>
          <w:szCs w:val="24"/>
          <w:lang w:eastAsia="es-AR"/>
        </w:rPr>
        <w:t xml:space="preserve">ar (d) </w:t>
      </w:r>
      <w:r w:rsidRPr="00A3025D">
        <w:rPr>
          <w:rFonts w:ascii="Garamond" w:eastAsia="Times New Roman" w:hAnsi="Garamond" w:cs="Times New Roman"/>
          <w:color w:val="000000"/>
          <w:sz w:val="24"/>
          <w:szCs w:val="24"/>
          <w:lang w:eastAsia="es-AR"/>
        </w:rPr>
        <w:t>Resultado de la cuenta corriente y de capital para la Administración Central, organismos descentralizados y entes autárquicos y para el total de la Administraci</w:t>
      </w:r>
      <w:r w:rsidR="00945C8C">
        <w:rPr>
          <w:rFonts w:ascii="Garamond" w:eastAsia="Times New Roman" w:hAnsi="Garamond" w:cs="Times New Roman"/>
          <w:color w:val="000000"/>
          <w:sz w:val="24"/>
          <w:szCs w:val="24"/>
          <w:lang w:eastAsia="es-AR"/>
        </w:rPr>
        <w:t xml:space="preserve">ón de la Ciudad de Buenos Aires; (e) </w:t>
      </w:r>
      <w:r w:rsidRPr="00A3025D">
        <w:rPr>
          <w:rFonts w:ascii="Garamond" w:eastAsia="Times New Roman" w:hAnsi="Garamond" w:cs="Times New Roman"/>
          <w:color w:val="000000"/>
          <w:sz w:val="24"/>
          <w:szCs w:val="24"/>
          <w:lang w:eastAsia="es-AR"/>
        </w:rPr>
        <w:t>Bienes que integran el patrimonio de la Ciudad de Buenos Ai</w:t>
      </w:r>
      <w:r w:rsidR="00945C8C">
        <w:rPr>
          <w:rFonts w:ascii="Garamond" w:eastAsia="Times New Roman" w:hAnsi="Garamond" w:cs="Times New Roman"/>
          <w:color w:val="000000"/>
          <w:sz w:val="24"/>
          <w:szCs w:val="24"/>
          <w:lang w:eastAsia="es-AR"/>
        </w:rPr>
        <w:t xml:space="preserve">res; (f) </w:t>
      </w:r>
      <w:r w:rsidRPr="00A3025D">
        <w:rPr>
          <w:rFonts w:ascii="Garamond" w:eastAsia="Times New Roman" w:hAnsi="Garamond" w:cs="Times New Roman"/>
          <w:color w:val="000000"/>
          <w:sz w:val="24"/>
          <w:szCs w:val="24"/>
          <w:lang w:eastAsia="es-AR"/>
        </w:rPr>
        <w:t xml:space="preserve">Deuda del Estado de la Ciudad de Buenos Aires clasificada </w:t>
      </w:r>
      <w:r w:rsidR="00406222">
        <w:rPr>
          <w:rFonts w:ascii="Garamond" w:eastAsia="Times New Roman" w:hAnsi="Garamond" w:cs="Times New Roman"/>
          <w:color w:val="000000"/>
          <w:sz w:val="24"/>
          <w:szCs w:val="24"/>
          <w:lang w:eastAsia="es-AR"/>
        </w:rPr>
        <w:t xml:space="preserve">por tipo y carácter del titular; (g) </w:t>
      </w:r>
      <w:r w:rsidRPr="00A3025D">
        <w:rPr>
          <w:rFonts w:ascii="Garamond" w:eastAsia="Times New Roman" w:hAnsi="Garamond" w:cs="Times New Roman"/>
          <w:color w:val="000000"/>
          <w:sz w:val="24"/>
          <w:szCs w:val="24"/>
          <w:lang w:eastAsia="es-AR"/>
        </w:rPr>
        <w:t xml:space="preserve">Flujo de caja de la deuda dividido por instrumento financiero tanto de intereses como de amortizaciones hasta la cancelación completa de todos ellos. En el mismo se incluirá el posible flujo en el caso de la caída de avales o cualquier otro tipo de deuda contingente </w:t>
      </w:r>
      <w:r w:rsidR="00406222" w:rsidRPr="00A3025D">
        <w:rPr>
          <w:rFonts w:ascii="Garamond" w:eastAsia="Times New Roman" w:hAnsi="Garamond" w:cs="Times New Roman"/>
          <w:color w:val="000000"/>
          <w:sz w:val="24"/>
          <w:szCs w:val="24"/>
          <w:lang w:eastAsia="es-AR"/>
        </w:rPr>
        <w:t>contraída</w:t>
      </w:r>
      <w:r w:rsidR="00406222">
        <w:rPr>
          <w:rFonts w:ascii="Garamond" w:eastAsia="Times New Roman" w:hAnsi="Garamond" w:cs="Times New Roman"/>
          <w:color w:val="000000"/>
          <w:sz w:val="24"/>
          <w:szCs w:val="24"/>
          <w:lang w:eastAsia="es-AR"/>
        </w:rPr>
        <w:t xml:space="preserve"> por la Ciudad; (h) </w:t>
      </w:r>
      <w:r w:rsidRPr="00A3025D">
        <w:rPr>
          <w:rFonts w:ascii="Garamond" w:eastAsia="Times New Roman" w:hAnsi="Garamond" w:cs="Times New Roman"/>
          <w:color w:val="000000"/>
          <w:sz w:val="24"/>
          <w:szCs w:val="24"/>
          <w:lang w:eastAsia="es-AR"/>
        </w:rPr>
        <w:t xml:space="preserve">Detalle del personal, permanente y transitorio, consignando cantidad de agentes por categoría </w:t>
      </w:r>
      <w:proofErr w:type="spellStart"/>
      <w:r w:rsidRPr="00A3025D">
        <w:rPr>
          <w:rFonts w:ascii="Garamond" w:eastAsia="Times New Roman" w:hAnsi="Garamond" w:cs="Times New Roman"/>
          <w:color w:val="000000"/>
          <w:sz w:val="24"/>
          <w:szCs w:val="24"/>
          <w:lang w:eastAsia="es-AR"/>
        </w:rPr>
        <w:t>escalafonaria</w:t>
      </w:r>
      <w:proofErr w:type="spellEnd"/>
      <w:r w:rsidRPr="00A3025D">
        <w:rPr>
          <w:rFonts w:ascii="Garamond" w:eastAsia="Times New Roman" w:hAnsi="Garamond" w:cs="Times New Roman"/>
          <w:color w:val="000000"/>
          <w:sz w:val="24"/>
          <w:szCs w:val="24"/>
          <w:lang w:eastAsia="es-AR"/>
        </w:rPr>
        <w:t xml:space="preserve"> y por repartición donde prestan servicios.</w:t>
      </w:r>
      <w:r w:rsidR="00406222">
        <w:rPr>
          <w:rFonts w:ascii="Garamond" w:hAnsi="Garamond"/>
          <w:sz w:val="24"/>
          <w:szCs w:val="24"/>
        </w:rPr>
        <w:t xml:space="preserve"> </w:t>
      </w:r>
      <w:r w:rsidRPr="00A3025D">
        <w:rPr>
          <w:rFonts w:ascii="Garamond" w:eastAsia="Times New Roman" w:hAnsi="Garamond" w:cs="Times New Roman"/>
          <w:color w:val="000000"/>
          <w:sz w:val="24"/>
          <w:szCs w:val="24"/>
          <w:lang w:eastAsia="es-AR"/>
        </w:rPr>
        <w:t>La reglamentación establece, en forma detallada, otras informaciones a ser presentadas a la Legislatura de la Ciudad de Buenos Aires por la Administración Central, los organismos descentralizados y los entes autárquicos</w:t>
      </w:r>
      <w:r w:rsidR="00A3025D">
        <w:rPr>
          <w:rFonts w:ascii="Garamond" w:eastAsia="Times New Roman" w:hAnsi="Garamond" w:cs="Times New Roman"/>
          <w:color w:val="000000"/>
          <w:sz w:val="24"/>
          <w:szCs w:val="24"/>
          <w:lang w:eastAsia="es-AR"/>
        </w:rPr>
        <w:t>”</w:t>
      </w:r>
      <w:r w:rsidRPr="00A3025D">
        <w:rPr>
          <w:rFonts w:ascii="Garamond" w:eastAsia="Times New Roman" w:hAnsi="Garamond" w:cs="Times New Roman"/>
          <w:color w:val="000000"/>
          <w:sz w:val="24"/>
          <w:szCs w:val="24"/>
          <w:lang w:eastAsia="es-AR"/>
        </w:rPr>
        <w:t>.</w:t>
      </w:r>
    </w:p>
    <w:p w:rsidR="004D0742" w:rsidRPr="00A3025D" w:rsidRDefault="004D0742" w:rsidP="007145DE">
      <w:pPr>
        <w:spacing w:line="360" w:lineRule="auto"/>
        <w:ind w:firstLine="360"/>
        <w:jc w:val="both"/>
        <w:rPr>
          <w:rFonts w:ascii="Garamond" w:hAnsi="Garamond"/>
          <w:sz w:val="24"/>
          <w:szCs w:val="24"/>
        </w:rPr>
      </w:pPr>
      <w:r w:rsidRPr="006F6C7C">
        <w:rPr>
          <w:rFonts w:ascii="Garamond" w:hAnsi="Garamond" w:cs="Times New Roman"/>
          <w:sz w:val="24"/>
          <w:szCs w:val="24"/>
        </w:rPr>
        <w:t>Este deber en cabeza del Jefe de Go</w:t>
      </w:r>
      <w:r w:rsidRPr="00A3025D">
        <w:rPr>
          <w:rFonts w:ascii="Garamond" w:hAnsi="Garamond"/>
          <w:sz w:val="24"/>
          <w:szCs w:val="24"/>
        </w:rPr>
        <w:t>bi</w:t>
      </w:r>
      <w:r w:rsidR="00B03240" w:rsidRPr="00A3025D">
        <w:rPr>
          <w:rFonts w:ascii="Garamond" w:hAnsi="Garamond"/>
          <w:sz w:val="24"/>
          <w:szCs w:val="24"/>
        </w:rPr>
        <w:t>erno tiene asidero no solo en cierto</w:t>
      </w:r>
      <w:r w:rsidRPr="00A3025D">
        <w:rPr>
          <w:rFonts w:ascii="Garamond" w:hAnsi="Garamond"/>
          <w:sz w:val="24"/>
          <w:szCs w:val="24"/>
        </w:rPr>
        <w:t>s postulados de la división de poderes sino también –como se verá en deta</w:t>
      </w:r>
      <w:r w:rsidR="00B03240" w:rsidRPr="00A3025D">
        <w:rPr>
          <w:rFonts w:ascii="Garamond" w:hAnsi="Garamond"/>
          <w:sz w:val="24"/>
          <w:szCs w:val="24"/>
        </w:rPr>
        <w:t>lle más adelante- e</w:t>
      </w:r>
      <w:r w:rsidRPr="00A3025D">
        <w:rPr>
          <w:rFonts w:ascii="Garamond" w:hAnsi="Garamond"/>
          <w:sz w:val="24"/>
          <w:szCs w:val="24"/>
        </w:rPr>
        <w:t>n el carácter participativo q</w:t>
      </w:r>
      <w:r w:rsidR="008A4B45" w:rsidRPr="00A3025D">
        <w:rPr>
          <w:rFonts w:ascii="Garamond" w:hAnsi="Garamond"/>
          <w:sz w:val="24"/>
          <w:szCs w:val="24"/>
        </w:rPr>
        <w:t xml:space="preserve">ue tienen el presupuesto </w:t>
      </w:r>
      <w:r w:rsidRPr="00A3025D">
        <w:rPr>
          <w:rFonts w:ascii="Garamond" w:hAnsi="Garamond"/>
          <w:sz w:val="24"/>
          <w:szCs w:val="24"/>
        </w:rPr>
        <w:t>y la democracia en  la Ciudad de Buenos Aires</w:t>
      </w:r>
      <w:r w:rsidR="00DA7D46" w:rsidRPr="00A3025D">
        <w:rPr>
          <w:rFonts w:ascii="Garamond" w:hAnsi="Garamond"/>
          <w:sz w:val="24"/>
          <w:szCs w:val="24"/>
        </w:rPr>
        <w:t>.</w:t>
      </w:r>
    </w:p>
    <w:p w:rsidR="00DA7D46" w:rsidRDefault="00DA7D46" w:rsidP="007145DE">
      <w:pPr>
        <w:spacing w:line="360" w:lineRule="auto"/>
        <w:ind w:firstLine="360"/>
        <w:jc w:val="both"/>
        <w:rPr>
          <w:rFonts w:ascii="Garamond" w:hAnsi="Garamond"/>
          <w:sz w:val="24"/>
          <w:szCs w:val="24"/>
        </w:rPr>
      </w:pPr>
      <w:r w:rsidRPr="00A3025D">
        <w:rPr>
          <w:rFonts w:ascii="Garamond" w:hAnsi="Garamond"/>
          <w:sz w:val="24"/>
          <w:szCs w:val="24"/>
        </w:rPr>
        <w:t>Aquéllas disposiciones refuerzan su sentido en cuanto se repara en la relevancia de la ley de presupuesto, dado que ella no solo evidencia los compromisos y prioridades del gobierno, sino que se relaciona de modo inescindible con el ejercicio efectivo de los derechos, en tanto éstos exigen para su implementación de la asignación y ejec</w:t>
      </w:r>
      <w:r w:rsidR="00B96588" w:rsidRPr="00A3025D">
        <w:rPr>
          <w:rFonts w:ascii="Garamond" w:hAnsi="Garamond"/>
          <w:sz w:val="24"/>
          <w:szCs w:val="24"/>
        </w:rPr>
        <w:t xml:space="preserve">ución de recursos públicos (ver en este sentido Corti, H., </w:t>
      </w:r>
      <w:r w:rsidR="00B96588" w:rsidRPr="00A3025D">
        <w:rPr>
          <w:rFonts w:ascii="Garamond" w:hAnsi="Garamond"/>
          <w:i/>
          <w:sz w:val="24"/>
          <w:szCs w:val="24"/>
        </w:rPr>
        <w:t>Derecho Constitucional Presupuestario</w:t>
      </w:r>
      <w:r w:rsidR="00B96588" w:rsidRPr="00A3025D">
        <w:rPr>
          <w:rFonts w:ascii="Garamond" w:hAnsi="Garamond"/>
          <w:sz w:val="24"/>
          <w:szCs w:val="24"/>
        </w:rPr>
        <w:t xml:space="preserve">, Ed. </w:t>
      </w:r>
      <w:proofErr w:type="spellStart"/>
      <w:r w:rsidR="00E81CD8" w:rsidRPr="00A3025D">
        <w:rPr>
          <w:rFonts w:ascii="Garamond" w:hAnsi="Garamond"/>
          <w:sz w:val="24"/>
          <w:szCs w:val="24"/>
        </w:rPr>
        <w:t>Abeledo</w:t>
      </w:r>
      <w:proofErr w:type="spellEnd"/>
      <w:r w:rsidR="00E81CD8" w:rsidRPr="00A3025D">
        <w:rPr>
          <w:rFonts w:ascii="Garamond" w:hAnsi="Garamond"/>
          <w:sz w:val="24"/>
          <w:szCs w:val="24"/>
        </w:rPr>
        <w:t xml:space="preserve"> </w:t>
      </w:r>
      <w:proofErr w:type="spellStart"/>
      <w:r w:rsidR="00E81CD8" w:rsidRPr="00A3025D">
        <w:rPr>
          <w:rFonts w:ascii="Garamond" w:hAnsi="Garamond"/>
          <w:sz w:val="24"/>
          <w:szCs w:val="24"/>
        </w:rPr>
        <w:t>Perrot</w:t>
      </w:r>
      <w:proofErr w:type="spellEnd"/>
      <w:r w:rsidRPr="00A3025D">
        <w:rPr>
          <w:rFonts w:ascii="Garamond" w:hAnsi="Garamond"/>
          <w:sz w:val="24"/>
          <w:szCs w:val="24"/>
        </w:rPr>
        <w:t>).</w:t>
      </w:r>
    </w:p>
    <w:p w:rsidR="00FB4B0C" w:rsidRPr="00A3025D" w:rsidRDefault="00FB4B0C" w:rsidP="007145DE">
      <w:pPr>
        <w:spacing w:line="360" w:lineRule="auto"/>
        <w:ind w:firstLine="360"/>
        <w:jc w:val="both"/>
        <w:rPr>
          <w:rFonts w:ascii="Garamond" w:hAnsi="Garamond"/>
          <w:sz w:val="24"/>
          <w:szCs w:val="24"/>
        </w:rPr>
      </w:pPr>
      <w:r>
        <w:rPr>
          <w:rFonts w:ascii="Garamond" w:hAnsi="Garamond"/>
          <w:sz w:val="24"/>
          <w:szCs w:val="24"/>
        </w:rPr>
        <w:t>De acuerdo con los registros de la Convención Constituyente local, y en la misma línea, “</w:t>
      </w:r>
      <w:r w:rsidR="00AE5943">
        <w:rPr>
          <w:rFonts w:ascii="Garamond" w:hAnsi="Garamond"/>
          <w:sz w:val="24"/>
          <w:szCs w:val="24"/>
        </w:rPr>
        <w:t>…</w:t>
      </w:r>
      <w:r w:rsidRPr="00FB4B0C">
        <w:rPr>
          <w:rFonts w:ascii="Garamond" w:hAnsi="Garamond"/>
          <w:sz w:val="24"/>
          <w:szCs w:val="24"/>
        </w:rPr>
        <w:t>el presupuesto se traduce en un acto de trascendencia que regula la vida económica y social del país, con significación jurídica y no meramente contable; es una manifestación integral de la legislación, de carácter unitario en su constitución, fuente de derechos y obligaciones para la administración y productor de efectos con relación a los particulares</w:t>
      </w:r>
      <w:r w:rsidR="00D018CD">
        <w:rPr>
          <w:rFonts w:ascii="Garamond" w:hAnsi="Garamond"/>
          <w:sz w:val="24"/>
          <w:szCs w:val="24"/>
        </w:rPr>
        <w:t xml:space="preserve">” </w:t>
      </w:r>
      <w:r w:rsidR="00AE5943">
        <w:rPr>
          <w:rFonts w:ascii="Garamond" w:hAnsi="Garamond"/>
          <w:sz w:val="24"/>
          <w:szCs w:val="24"/>
        </w:rPr>
        <w:t xml:space="preserve">(Convencional Garré, </w:t>
      </w:r>
      <w:r w:rsidR="00C87C55">
        <w:rPr>
          <w:rFonts w:ascii="Garamond" w:hAnsi="Garamond"/>
          <w:sz w:val="24"/>
          <w:szCs w:val="24"/>
        </w:rPr>
        <w:t xml:space="preserve">cita </w:t>
      </w:r>
      <w:r w:rsidR="00AE5943">
        <w:rPr>
          <w:rFonts w:ascii="Garamond" w:hAnsi="Garamond"/>
          <w:sz w:val="24"/>
          <w:szCs w:val="24"/>
        </w:rPr>
        <w:t xml:space="preserve">disponible en: </w:t>
      </w:r>
      <w:r w:rsidR="00AE5943" w:rsidRPr="00AE5943">
        <w:rPr>
          <w:rFonts w:ascii="Garamond" w:hAnsi="Garamond"/>
          <w:sz w:val="24"/>
          <w:szCs w:val="24"/>
        </w:rPr>
        <w:lastRenderedPageBreak/>
        <w:t>http://www.infoleg.gov.ar/basehome/constituyente_bsas/archivosprincipales/960906/960906.htm#Car%C3%A1cterParticipativoPresupuesto</w:t>
      </w:r>
      <w:r w:rsidR="00AE5943">
        <w:rPr>
          <w:rFonts w:ascii="Garamond" w:hAnsi="Garamond"/>
          <w:sz w:val="24"/>
          <w:szCs w:val="24"/>
        </w:rPr>
        <w:t>).</w:t>
      </w:r>
    </w:p>
    <w:p w:rsidR="00B113D6" w:rsidRPr="00A3025D" w:rsidRDefault="005741A4" w:rsidP="007F5F88">
      <w:pPr>
        <w:spacing w:line="360" w:lineRule="auto"/>
        <w:ind w:firstLine="360"/>
        <w:jc w:val="both"/>
        <w:rPr>
          <w:rFonts w:ascii="Garamond" w:hAnsi="Garamond"/>
          <w:sz w:val="24"/>
          <w:szCs w:val="24"/>
        </w:rPr>
      </w:pPr>
      <w:r w:rsidRPr="00A3025D">
        <w:rPr>
          <w:rFonts w:ascii="Garamond" w:hAnsi="Garamond"/>
          <w:sz w:val="24"/>
          <w:szCs w:val="24"/>
        </w:rPr>
        <w:t xml:space="preserve">A pesar de todo esto, </w:t>
      </w:r>
      <w:r w:rsidRPr="008D0EA5">
        <w:rPr>
          <w:rFonts w:ascii="Garamond" w:hAnsi="Garamond"/>
          <w:b/>
          <w:sz w:val="24"/>
          <w:szCs w:val="24"/>
        </w:rPr>
        <w:t>el Poder Ejecutivo no ha presentado el proyecto de ley de pre</w:t>
      </w:r>
      <w:r w:rsidR="000B0730" w:rsidRPr="008D0EA5">
        <w:rPr>
          <w:rFonts w:ascii="Garamond" w:hAnsi="Garamond"/>
          <w:b/>
          <w:sz w:val="24"/>
          <w:szCs w:val="24"/>
        </w:rPr>
        <w:t xml:space="preserve">supuesto para el año 2016 a la Legislatura, aunque se encuentra </w:t>
      </w:r>
      <w:r w:rsidRPr="008D0EA5">
        <w:rPr>
          <w:rFonts w:ascii="Garamond" w:hAnsi="Garamond"/>
          <w:b/>
          <w:sz w:val="24"/>
          <w:szCs w:val="24"/>
        </w:rPr>
        <w:t>amplia y notoriamente vencido el plazo para hacerlo (</w:t>
      </w:r>
      <w:r w:rsidR="000B0730" w:rsidRPr="008D0EA5">
        <w:rPr>
          <w:rFonts w:ascii="Garamond" w:hAnsi="Garamond"/>
          <w:b/>
          <w:sz w:val="24"/>
          <w:szCs w:val="24"/>
        </w:rPr>
        <w:t>esta omisión</w:t>
      </w:r>
      <w:r w:rsidRPr="008D0EA5">
        <w:rPr>
          <w:rFonts w:ascii="Garamond" w:hAnsi="Garamond"/>
          <w:b/>
          <w:sz w:val="24"/>
          <w:szCs w:val="24"/>
        </w:rPr>
        <w:t>, vale destacar, no tiene precedentes en la historia de la Ciudad de Buenos Aires).</w:t>
      </w:r>
      <w:r w:rsidRPr="00A3025D">
        <w:rPr>
          <w:rFonts w:ascii="Garamond" w:hAnsi="Garamond"/>
          <w:sz w:val="24"/>
          <w:szCs w:val="24"/>
        </w:rPr>
        <w:t xml:space="preserve"> Este hecho puede corroborarse sencillamente</w:t>
      </w:r>
      <w:r w:rsidR="00CA2295" w:rsidRPr="00A3025D">
        <w:rPr>
          <w:rFonts w:ascii="Garamond" w:hAnsi="Garamond"/>
          <w:sz w:val="24"/>
          <w:szCs w:val="24"/>
        </w:rPr>
        <w:t>,</w:t>
      </w:r>
      <w:r w:rsidRPr="00A3025D">
        <w:rPr>
          <w:rFonts w:ascii="Garamond" w:hAnsi="Garamond"/>
          <w:sz w:val="24"/>
          <w:szCs w:val="24"/>
        </w:rPr>
        <w:t xml:space="preserve"> con una consulta a la página </w:t>
      </w:r>
      <w:r w:rsidRPr="00A3025D">
        <w:rPr>
          <w:rFonts w:ascii="Garamond" w:hAnsi="Garamond"/>
          <w:i/>
          <w:sz w:val="24"/>
          <w:szCs w:val="24"/>
        </w:rPr>
        <w:t>web</w:t>
      </w:r>
      <w:r w:rsidRPr="00A3025D">
        <w:rPr>
          <w:rFonts w:ascii="Garamond" w:hAnsi="Garamond"/>
          <w:sz w:val="24"/>
          <w:szCs w:val="24"/>
        </w:rPr>
        <w:t xml:space="preserve"> oficial de la Legislatura (a</w:t>
      </w:r>
      <w:r w:rsidR="00CA2295" w:rsidRPr="00A3025D">
        <w:rPr>
          <w:rFonts w:ascii="Garamond" w:hAnsi="Garamond"/>
          <w:sz w:val="24"/>
          <w:szCs w:val="24"/>
        </w:rPr>
        <w:t>l alcance de cualquier persona</w:t>
      </w:r>
      <w:r w:rsidRPr="00A3025D">
        <w:rPr>
          <w:rFonts w:ascii="Garamond" w:hAnsi="Garamond"/>
          <w:sz w:val="24"/>
          <w:szCs w:val="24"/>
        </w:rPr>
        <w:t xml:space="preserve">) que muestra que entre los proyectos de ley presentados en el último mes </w:t>
      </w:r>
      <w:r w:rsidR="000A4E99" w:rsidRPr="00A3025D">
        <w:rPr>
          <w:rFonts w:ascii="Garamond" w:hAnsi="Garamond"/>
          <w:sz w:val="24"/>
          <w:szCs w:val="24"/>
        </w:rPr>
        <w:t xml:space="preserve">no se encuentra el correspondiente a la ley de presupuesto (se acompañan copias de las impresiones de pantalla correspondientes, sin perjuicio de que el Tribunal puede verificar </w:t>
      </w:r>
      <w:r w:rsidR="001F3778" w:rsidRPr="00A3025D">
        <w:rPr>
          <w:rFonts w:ascii="Garamond" w:hAnsi="Garamond"/>
          <w:sz w:val="24"/>
          <w:szCs w:val="24"/>
        </w:rPr>
        <w:t xml:space="preserve">esto por sí mismo </w:t>
      </w:r>
      <w:r w:rsidR="00064552" w:rsidRPr="00A3025D">
        <w:rPr>
          <w:rFonts w:ascii="Garamond" w:hAnsi="Garamond"/>
          <w:sz w:val="24"/>
          <w:szCs w:val="24"/>
        </w:rPr>
        <w:t xml:space="preserve">-como acto público y notorio- </w:t>
      </w:r>
      <w:r w:rsidR="001F3778" w:rsidRPr="00A3025D">
        <w:rPr>
          <w:rFonts w:ascii="Garamond" w:hAnsi="Garamond"/>
          <w:sz w:val="24"/>
          <w:szCs w:val="24"/>
        </w:rPr>
        <w:t>ingresando a: http://parlamentaria.legislatura.gov.ar/login.aspx</w:t>
      </w:r>
      <w:r w:rsidR="000A4E99" w:rsidRPr="00A3025D">
        <w:rPr>
          <w:rFonts w:ascii="Garamond" w:hAnsi="Garamond"/>
          <w:sz w:val="24"/>
          <w:szCs w:val="24"/>
        </w:rPr>
        <w:t>).</w:t>
      </w:r>
    </w:p>
    <w:p w:rsidR="004419B4" w:rsidRDefault="00A3025D" w:rsidP="004419B4">
      <w:pPr>
        <w:spacing w:line="360" w:lineRule="auto"/>
        <w:ind w:firstLine="360"/>
        <w:jc w:val="both"/>
        <w:rPr>
          <w:rFonts w:ascii="Garamond" w:hAnsi="Garamond"/>
          <w:sz w:val="24"/>
          <w:szCs w:val="24"/>
        </w:rPr>
      </w:pPr>
      <w:r>
        <w:rPr>
          <w:rFonts w:ascii="Garamond" w:hAnsi="Garamond"/>
          <w:sz w:val="24"/>
          <w:szCs w:val="24"/>
        </w:rPr>
        <w:t xml:space="preserve">La omisión en la que incurre el Poder Ejecutivo de presentar el proyecto de ley de presupuesto en el plazo establecido en la Constitución tiene consecuencias graves, en cuanto impide a la ciudadanía conocer </w:t>
      </w:r>
      <w:r w:rsidR="004419B4" w:rsidRPr="008B2A81">
        <w:rPr>
          <w:rFonts w:ascii="Garamond" w:hAnsi="Garamond"/>
          <w:b/>
          <w:sz w:val="24"/>
          <w:szCs w:val="24"/>
        </w:rPr>
        <w:t>con la antelación necesaria</w:t>
      </w:r>
      <w:r w:rsidR="004419B4">
        <w:rPr>
          <w:rFonts w:ascii="Garamond" w:hAnsi="Garamond"/>
          <w:sz w:val="24"/>
          <w:szCs w:val="24"/>
        </w:rPr>
        <w:t xml:space="preserve"> prevista en la Constitución </w:t>
      </w:r>
      <w:r>
        <w:rPr>
          <w:rFonts w:ascii="Garamond" w:hAnsi="Garamond"/>
          <w:sz w:val="24"/>
          <w:szCs w:val="24"/>
        </w:rPr>
        <w:t xml:space="preserve">cuáles son las previsiones de ingresos y gastos que proyecta el Poder Ejecutivo para el próximo ejercicio, frustrando su derecho a peticionar a las autoridades y participar de los asuntos públicos.  </w:t>
      </w:r>
      <w:r w:rsidR="004419B4">
        <w:rPr>
          <w:rFonts w:ascii="Garamond" w:hAnsi="Garamond"/>
          <w:sz w:val="24"/>
          <w:szCs w:val="24"/>
        </w:rPr>
        <w:t xml:space="preserve">Ante la omisión de presentar el proyecto, se le impide a ACIJ y a todos/as los/as habitantes de la Ciudad </w:t>
      </w:r>
      <w:r w:rsidR="008B2A81">
        <w:rPr>
          <w:rFonts w:ascii="Garamond" w:hAnsi="Garamond"/>
          <w:sz w:val="24"/>
          <w:szCs w:val="24"/>
        </w:rPr>
        <w:t xml:space="preserve">el </w:t>
      </w:r>
      <w:r w:rsidR="004419B4">
        <w:rPr>
          <w:rFonts w:ascii="Garamond" w:hAnsi="Garamond"/>
          <w:sz w:val="24"/>
          <w:szCs w:val="24"/>
        </w:rPr>
        <w:t xml:space="preserve">debate y discusión sobre las proyecciones presupuestarias del Poder Ejecutivo para el próximo año, debido a que ni siquiera pueden conocerlas. </w:t>
      </w:r>
    </w:p>
    <w:p w:rsidR="00A3025D" w:rsidRDefault="00A3025D" w:rsidP="00A3025D">
      <w:pPr>
        <w:spacing w:line="360" w:lineRule="auto"/>
        <w:ind w:firstLine="360"/>
        <w:jc w:val="both"/>
        <w:rPr>
          <w:rFonts w:ascii="Garamond" w:hAnsi="Garamond"/>
          <w:sz w:val="24"/>
          <w:szCs w:val="24"/>
        </w:rPr>
      </w:pPr>
      <w:r>
        <w:rPr>
          <w:rFonts w:ascii="Garamond" w:hAnsi="Garamond"/>
          <w:sz w:val="24"/>
          <w:szCs w:val="24"/>
        </w:rPr>
        <w:t xml:space="preserve">Además, se frustra toda posibilidad de que los integrantes del Poder Legislativo discutan y debatan </w:t>
      </w:r>
      <w:r w:rsidR="004419B4">
        <w:rPr>
          <w:rFonts w:ascii="Garamond" w:hAnsi="Garamond"/>
          <w:sz w:val="24"/>
          <w:szCs w:val="24"/>
        </w:rPr>
        <w:t>en el plazo constitucionalmente previsto cuáles</w:t>
      </w:r>
      <w:r>
        <w:rPr>
          <w:rFonts w:ascii="Garamond" w:hAnsi="Garamond"/>
          <w:sz w:val="24"/>
          <w:szCs w:val="24"/>
        </w:rPr>
        <w:t xml:space="preserve"> las previsiones presupuestarias para el próximo ejercicio, y con ello,  se afecta </w:t>
      </w:r>
      <w:r w:rsidR="004419B4">
        <w:rPr>
          <w:rFonts w:ascii="Garamond" w:hAnsi="Garamond"/>
          <w:sz w:val="24"/>
          <w:szCs w:val="24"/>
        </w:rPr>
        <w:t xml:space="preserve">también </w:t>
      </w:r>
      <w:r>
        <w:rPr>
          <w:rFonts w:ascii="Garamond" w:hAnsi="Garamond"/>
          <w:sz w:val="24"/>
          <w:szCs w:val="24"/>
        </w:rPr>
        <w:t>el derecho de</w:t>
      </w:r>
      <w:r w:rsidR="004419B4">
        <w:rPr>
          <w:rFonts w:ascii="Garamond" w:hAnsi="Garamond"/>
          <w:sz w:val="24"/>
          <w:szCs w:val="24"/>
        </w:rPr>
        <w:t xml:space="preserve"> ACIJ y de todos/as</w:t>
      </w:r>
      <w:r>
        <w:rPr>
          <w:rFonts w:ascii="Garamond" w:hAnsi="Garamond"/>
          <w:sz w:val="24"/>
          <w:szCs w:val="24"/>
        </w:rPr>
        <w:t xml:space="preserve"> los/as ciudadanos/as a participar de esas discusiones que deben tener lugar en el Poder Legislativo</w:t>
      </w:r>
      <w:r w:rsidR="004419B4">
        <w:rPr>
          <w:rFonts w:ascii="Garamond" w:hAnsi="Garamond"/>
          <w:sz w:val="24"/>
          <w:szCs w:val="24"/>
        </w:rPr>
        <w:t xml:space="preserve"> a partir de la fecha de presentación del proyecto, antes del 30 de Septiembre de cada año</w:t>
      </w:r>
      <w:r w:rsidR="00C87C55">
        <w:rPr>
          <w:rFonts w:ascii="Garamond" w:hAnsi="Garamond"/>
          <w:sz w:val="24"/>
          <w:szCs w:val="24"/>
        </w:rPr>
        <w:t>.</w:t>
      </w:r>
    </w:p>
    <w:p w:rsidR="00C87C55" w:rsidRDefault="00C87C55" w:rsidP="00A3025D">
      <w:pPr>
        <w:spacing w:line="360" w:lineRule="auto"/>
        <w:ind w:firstLine="360"/>
        <w:jc w:val="both"/>
        <w:rPr>
          <w:rFonts w:ascii="Garamond" w:hAnsi="Garamond"/>
          <w:sz w:val="24"/>
          <w:szCs w:val="24"/>
        </w:rPr>
      </w:pPr>
      <w:r>
        <w:rPr>
          <w:rFonts w:ascii="Garamond" w:hAnsi="Garamond"/>
          <w:sz w:val="24"/>
          <w:szCs w:val="24"/>
        </w:rPr>
        <w:t>Es que el plazo fijado en la Constitución y en la Ley 70 tiene una razón de ser. Según los registros de la Convención constituyente, “</w:t>
      </w:r>
      <w:r w:rsidR="00E6047A" w:rsidRPr="00E6047A">
        <w:rPr>
          <w:rFonts w:ascii="Garamond" w:hAnsi="Garamond"/>
          <w:sz w:val="24"/>
          <w:szCs w:val="24"/>
        </w:rPr>
        <w:t>el proyecto de ley de presupuesto deberá presentarse antes del 30 de septiembre del año anterior al de su entrada en vigencia, y será el Poder Ejecutivo el encargado de presentarlo al Poder Legislativo.</w:t>
      </w:r>
      <w:r w:rsidR="00E6047A" w:rsidRPr="00E6047A">
        <w:rPr>
          <w:rFonts w:ascii="Garamond" w:hAnsi="Garamond"/>
          <w:b/>
          <w:bCs/>
          <w:sz w:val="24"/>
          <w:szCs w:val="24"/>
        </w:rPr>
        <w:t> </w:t>
      </w:r>
      <w:r w:rsidR="00E6047A" w:rsidRPr="00E6047A">
        <w:rPr>
          <w:rFonts w:ascii="Garamond" w:hAnsi="Garamond"/>
          <w:bCs/>
          <w:sz w:val="24"/>
          <w:szCs w:val="24"/>
        </w:rPr>
        <w:t xml:space="preserve">En este sentido, hemos modificado el plazo que fijaba la ley orgánica municipal, al llevar la fecha del 30 de octubre al 30 de septiembre, porque la </w:t>
      </w:r>
      <w:r w:rsidR="00E6047A" w:rsidRPr="00E6047A">
        <w:rPr>
          <w:rFonts w:ascii="Garamond" w:hAnsi="Garamond"/>
          <w:bCs/>
          <w:sz w:val="24"/>
          <w:szCs w:val="24"/>
        </w:rPr>
        <w:lastRenderedPageBreak/>
        <w:t>experiencia parlamentaria nos ha indicado que eran muy exiguos los plazos para el tratamiento sesudo y analítico del proyecto que remitía el Ejecutivo</w:t>
      </w:r>
      <w:r w:rsidR="00E6047A" w:rsidRPr="00E6047A">
        <w:rPr>
          <w:rFonts w:ascii="Garamond" w:hAnsi="Garamond"/>
          <w:sz w:val="24"/>
          <w:szCs w:val="24"/>
        </w:rPr>
        <w:t>. O sea que hemos seguido los lineamientos trazados por la ley orgánica municipal, pero modificando las fechas y los plazos. </w:t>
      </w:r>
      <w:r w:rsidR="00E6047A" w:rsidRPr="00E6047A">
        <w:rPr>
          <w:rFonts w:ascii="Garamond" w:hAnsi="Garamond"/>
          <w:bCs/>
          <w:sz w:val="24"/>
          <w:szCs w:val="24"/>
        </w:rPr>
        <w:t xml:space="preserve">Asimismo, se </w:t>
      </w:r>
      <w:r w:rsidR="00E6047A" w:rsidRPr="00E6047A">
        <w:rPr>
          <w:rFonts w:ascii="Garamond" w:hAnsi="Garamond"/>
          <w:b/>
          <w:bCs/>
          <w:sz w:val="24"/>
          <w:szCs w:val="24"/>
        </w:rPr>
        <w:t>refuerza</w:t>
      </w:r>
      <w:r w:rsidRPr="00E6047A">
        <w:rPr>
          <w:rFonts w:ascii="Garamond" w:hAnsi="Garamond"/>
          <w:b/>
          <w:sz w:val="24"/>
          <w:szCs w:val="24"/>
        </w:rPr>
        <w:t xml:space="preserve"> la idea de previsión y discusión del proyecto de ley de presupuesto por parte de todos los actores políticos llamados a participar en su elaboración</w:t>
      </w:r>
      <w:r>
        <w:rPr>
          <w:rFonts w:ascii="Garamond" w:hAnsi="Garamond"/>
          <w:sz w:val="24"/>
          <w:szCs w:val="24"/>
        </w:rPr>
        <w:t>” (</w:t>
      </w:r>
      <w:r w:rsidRPr="00C87C55">
        <w:rPr>
          <w:rFonts w:ascii="Garamond" w:hAnsi="Garamond"/>
          <w:sz w:val="24"/>
          <w:szCs w:val="24"/>
        </w:rPr>
        <w:t xml:space="preserve">Convencional Garré, cita disponible en: </w:t>
      </w:r>
      <w:hyperlink r:id="rId9" w:anchor="Car%C3%A1cterParticipativoPresupuesto" w:history="1">
        <w:r w:rsidR="008B2A81" w:rsidRPr="0060326B">
          <w:rPr>
            <w:rStyle w:val="Hipervnculo"/>
            <w:rFonts w:ascii="Garamond" w:hAnsi="Garamond"/>
            <w:sz w:val="24"/>
            <w:szCs w:val="24"/>
          </w:rPr>
          <w:t>http://www.infoleg.gov.ar/basehome/constituyente_bsas/archivosprincipales/960906/960906.htm#Car%C3%A1cterParticipativoPresupuesto</w:t>
        </w:r>
      </w:hyperlink>
      <w:r w:rsidR="00C61B63">
        <w:rPr>
          <w:rStyle w:val="Hipervnculo"/>
          <w:rFonts w:ascii="Garamond" w:hAnsi="Garamond"/>
          <w:sz w:val="24"/>
          <w:szCs w:val="24"/>
        </w:rPr>
        <w:t xml:space="preserve">; </w:t>
      </w:r>
      <w:r w:rsidR="00C61B63" w:rsidRPr="00C61B63">
        <w:rPr>
          <w:rStyle w:val="Hipervnculo"/>
          <w:rFonts w:ascii="Garamond" w:hAnsi="Garamond"/>
          <w:color w:val="auto"/>
          <w:sz w:val="24"/>
          <w:szCs w:val="24"/>
          <w:u w:val="none"/>
        </w:rPr>
        <w:t>el destacado es propio</w:t>
      </w:r>
      <w:r>
        <w:rPr>
          <w:rFonts w:ascii="Garamond" w:hAnsi="Garamond"/>
          <w:sz w:val="24"/>
          <w:szCs w:val="24"/>
        </w:rPr>
        <w:t>)</w:t>
      </w:r>
      <w:r w:rsidRPr="00C87C55">
        <w:rPr>
          <w:rFonts w:ascii="Garamond" w:hAnsi="Garamond"/>
          <w:sz w:val="24"/>
          <w:szCs w:val="24"/>
        </w:rPr>
        <w:t>.</w:t>
      </w:r>
    </w:p>
    <w:p w:rsidR="008B2A81" w:rsidRPr="008B2A81" w:rsidRDefault="008B2A81" w:rsidP="008B2A81">
      <w:pPr>
        <w:spacing w:line="360" w:lineRule="auto"/>
        <w:ind w:firstLine="360"/>
        <w:jc w:val="both"/>
        <w:rPr>
          <w:rFonts w:ascii="Garamond" w:hAnsi="Garamond"/>
          <w:sz w:val="24"/>
          <w:szCs w:val="24"/>
        </w:rPr>
      </w:pPr>
      <w:r w:rsidRPr="008B2A81">
        <w:rPr>
          <w:rFonts w:ascii="Garamond" w:hAnsi="Garamond"/>
          <w:sz w:val="24"/>
          <w:szCs w:val="24"/>
        </w:rPr>
        <w:t>El plazo establecido en la constitución para la presentación del proyecto de ley procura asegurar que todos/as los/as habitantes de la Ciudad, y el Poder Legislativo, puedan iniciar con una antelación razonable al siguiente ejercicio presupuestario las trascendentales discusiones que involucra la san</w:t>
      </w:r>
      <w:r w:rsidR="0006689B">
        <w:rPr>
          <w:rFonts w:ascii="Garamond" w:hAnsi="Garamond"/>
          <w:sz w:val="24"/>
          <w:szCs w:val="24"/>
        </w:rPr>
        <w:t xml:space="preserve">ción de la ley de presupuesto. Es que </w:t>
      </w:r>
      <w:r w:rsidR="000158D9" w:rsidRPr="009A0F5A">
        <w:rPr>
          <w:rFonts w:ascii="Garamond" w:hAnsi="Garamond"/>
          <w:b/>
          <w:sz w:val="24"/>
          <w:szCs w:val="24"/>
        </w:rPr>
        <w:t xml:space="preserve">la complejidad y amplitud de la información que se presenta junto </w:t>
      </w:r>
      <w:r w:rsidR="002D208F">
        <w:rPr>
          <w:rFonts w:ascii="Garamond" w:hAnsi="Garamond"/>
          <w:b/>
          <w:sz w:val="24"/>
          <w:szCs w:val="24"/>
        </w:rPr>
        <w:t>con el proyecto presupuesto</w:t>
      </w:r>
      <w:r w:rsidR="000158D9" w:rsidRPr="009A0F5A">
        <w:rPr>
          <w:rFonts w:ascii="Garamond" w:hAnsi="Garamond"/>
          <w:b/>
          <w:sz w:val="24"/>
          <w:szCs w:val="24"/>
        </w:rPr>
        <w:t xml:space="preserve"> hace</w:t>
      </w:r>
      <w:r w:rsidR="002D208F">
        <w:rPr>
          <w:rFonts w:ascii="Garamond" w:hAnsi="Garamond"/>
          <w:b/>
          <w:sz w:val="24"/>
          <w:szCs w:val="24"/>
        </w:rPr>
        <w:t>n</w:t>
      </w:r>
      <w:r w:rsidR="000158D9" w:rsidRPr="009A0F5A">
        <w:rPr>
          <w:rFonts w:ascii="Garamond" w:hAnsi="Garamond"/>
          <w:b/>
          <w:sz w:val="24"/>
          <w:szCs w:val="24"/>
        </w:rPr>
        <w:t xml:space="preserve"> que acceder a ella de manera tardía </w:t>
      </w:r>
      <w:r w:rsidR="002D208F">
        <w:rPr>
          <w:rFonts w:ascii="Garamond" w:hAnsi="Garamond"/>
          <w:b/>
          <w:sz w:val="24"/>
          <w:szCs w:val="24"/>
        </w:rPr>
        <w:t xml:space="preserve">equivalga a no acceder a ella; </w:t>
      </w:r>
      <w:r w:rsidR="009A0F5A" w:rsidRPr="009A0F5A">
        <w:rPr>
          <w:rFonts w:ascii="Garamond" w:hAnsi="Garamond"/>
          <w:b/>
          <w:sz w:val="24"/>
          <w:szCs w:val="24"/>
        </w:rPr>
        <w:t>pues</w:t>
      </w:r>
      <w:r w:rsidR="002D208F">
        <w:rPr>
          <w:rFonts w:ascii="Garamond" w:hAnsi="Garamond"/>
          <w:b/>
          <w:sz w:val="24"/>
          <w:szCs w:val="24"/>
        </w:rPr>
        <w:t>,</w:t>
      </w:r>
      <w:r w:rsidR="009A0F5A" w:rsidRPr="009A0F5A">
        <w:rPr>
          <w:rFonts w:ascii="Garamond" w:hAnsi="Garamond"/>
          <w:b/>
          <w:sz w:val="24"/>
          <w:szCs w:val="24"/>
        </w:rPr>
        <w:t xml:space="preserve"> de ese modo</w:t>
      </w:r>
      <w:r w:rsidR="002D208F">
        <w:rPr>
          <w:rFonts w:ascii="Garamond" w:hAnsi="Garamond"/>
          <w:b/>
          <w:sz w:val="24"/>
          <w:szCs w:val="24"/>
        </w:rPr>
        <w:t>,</w:t>
      </w:r>
      <w:r w:rsidR="009A0F5A" w:rsidRPr="009A0F5A">
        <w:rPr>
          <w:rFonts w:ascii="Garamond" w:hAnsi="Garamond"/>
          <w:b/>
          <w:sz w:val="24"/>
          <w:szCs w:val="24"/>
        </w:rPr>
        <w:t xml:space="preserve"> solo se podría obtener un conocimiento superfluo de los datos, que no podrían evaluarse y así, tampoco, sería factible participar seriamente en el proceso presupuestario</w:t>
      </w:r>
      <w:r w:rsidR="009A0F5A">
        <w:rPr>
          <w:rFonts w:ascii="Garamond" w:hAnsi="Garamond"/>
          <w:sz w:val="24"/>
          <w:szCs w:val="24"/>
        </w:rPr>
        <w:t>.</w:t>
      </w:r>
    </w:p>
    <w:p w:rsidR="008B2A81" w:rsidRDefault="00C355C6" w:rsidP="00C355C6">
      <w:pPr>
        <w:spacing w:line="360" w:lineRule="auto"/>
        <w:ind w:firstLine="360"/>
        <w:jc w:val="both"/>
        <w:rPr>
          <w:rFonts w:ascii="Garamond" w:hAnsi="Garamond"/>
          <w:sz w:val="24"/>
          <w:szCs w:val="24"/>
        </w:rPr>
      </w:pPr>
      <w:r>
        <w:rPr>
          <w:rFonts w:ascii="Garamond" w:hAnsi="Garamond"/>
          <w:sz w:val="24"/>
          <w:szCs w:val="24"/>
        </w:rPr>
        <w:t>El plazo t</w:t>
      </w:r>
      <w:r w:rsidR="008B2A81" w:rsidRPr="008B2A81">
        <w:rPr>
          <w:rFonts w:ascii="Garamond" w:hAnsi="Garamond"/>
          <w:sz w:val="24"/>
          <w:szCs w:val="24"/>
        </w:rPr>
        <w:t xml:space="preserve">iende a evitar también, que la presentación oportuna y con una antelación razonable del proyecto sobre una de las leyes más importantes y determinantes para la democracia de nuestra Ciudad, la Ley de Presupuesto, sea demorada debido a una mera especulación política circunstancial, sobre la conveniencia o inconveniencia de iniciar determinados debates en un tiempo determinado. Por todas estas razones, nuestros constituyentes decidieron garantizar los derechos de participación y acceso a la información estableciendo un límite infranqueable, un plazo en la propia Constitución, para que nuestra Ciudad inicie el debate sobre el proyecto de ley de Presupuesto. </w:t>
      </w:r>
    </w:p>
    <w:p w:rsidR="00AD6BC5" w:rsidRDefault="004419B4" w:rsidP="00AD6BC5">
      <w:pPr>
        <w:spacing w:line="360" w:lineRule="auto"/>
        <w:ind w:firstLine="360"/>
        <w:jc w:val="both"/>
        <w:rPr>
          <w:rFonts w:ascii="Garamond" w:hAnsi="Garamond"/>
          <w:sz w:val="24"/>
          <w:szCs w:val="24"/>
        </w:rPr>
      </w:pPr>
      <w:r>
        <w:rPr>
          <w:rFonts w:ascii="Garamond" w:hAnsi="Garamond"/>
          <w:sz w:val="24"/>
          <w:szCs w:val="24"/>
        </w:rPr>
        <w:t>El proceso presupuestario es un proceso reglado en la Constitución y sus leyes reglamentarias, y la omisión de cumplir con sus diferentes pasos y plazos, además de violar el derecho de acceso a la informaci</w:t>
      </w:r>
      <w:r w:rsidR="008B2A81">
        <w:rPr>
          <w:rFonts w:ascii="Garamond" w:hAnsi="Garamond"/>
          <w:sz w:val="24"/>
          <w:szCs w:val="24"/>
        </w:rPr>
        <w:t>ón y</w:t>
      </w:r>
      <w:r>
        <w:rPr>
          <w:rFonts w:ascii="Garamond" w:hAnsi="Garamond"/>
          <w:sz w:val="24"/>
          <w:szCs w:val="24"/>
        </w:rPr>
        <w:t xml:space="preserve"> el derecho a participar de los asuntos públicos vulnera el debido proceso establecido constitucionalmente para la sanción de la Ley de Presupuesto.  </w:t>
      </w:r>
    </w:p>
    <w:p w:rsidR="004419B4" w:rsidRDefault="00AD6BC5" w:rsidP="00AD6BC5">
      <w:pPr>
        <w:spacing w:line="360" w:lineRule="auto"/>
        <w:ind w:firstLine="360"/>
        <w:jc w:val="both"/>
        <w:rPr>
          <w:rFonts w:ascii="Garamond" w:hAnsi="Garamond"/>
          <w:sz w:val="24"/>
          <w:szCs w:val="24"/>
        </w:rPr>
      </w:pPr>
      <w:r>
        <w:rPr>
          <w:rFonts w:ascii="Garamond" w:hAnsi="Garamond"/>
          <w:sz w:val="24"/>
          <w:szCs w:val="24"/>
        </w:rPr>
        <w:lastRenderedPageBreak/>
        <w:t xml:space="preserve">Al omitir presentar el proyecto de ley, se vulnera </w:t>
      </w:r>
      <w:r w:rsidR="008B2A81">
        <w:rPr>
          <w:rFonts w:ascii="Garamond" w:hAnsi="Garamond"/>
          <w:sz w:val="24"/>
          <w:szCs w:val="24"/>
        </w:rPr>
        <w:t xml:space="preserve">también </w:t>
      </w:r>
      <w:r>
        <w:rPr>
          <w:rFonts w:ascii="Garamond" w:hAnsi="Garamond"/>
          <w:sz w:val="24"/>
          <w:szCs w:val="24"/>
        </w:rPr>
        <w:t xml:space="preserve">el elemental principio de división de poderes, ya que se impide que la Legislatura de la Ciudad ejerza su rol y responsabilidad en el plazo previsto en la Constitución, lo que afecta el debido proceso presupuestario, vulnerando además los derechos de los/as habitantes de la Ciudad a participar de los debates legislativos. </w:t>
      </w:r>
    </w:p>
    <w:p w:rsidR="00A3025D" w:rsidRDefault="00190F79" w:rsidP="001C3E7D">
      <w:pPr>
        <w:spacing w:line="360" w:lineRule="auto"/>
        <w:ind w:firstLine="360"/>
        <w:jc w:val="both"/>
        <w:rPr>
          <w:rFonts w:ascii="Garamond" w:hAnsi="Garamond"/>
          <w:sz w:val="24"/>
          <w:szCs w:val="24"/>
        </w:rPr>
      </w:pPr>
      <w:r w:rsidRPr="00A3025D">
        <w:rPr>
          <w:rFonts w:ascii="Garamond" w:hAnsi="Garamond"/>
          <w:sz w:val="24"/>
          <w:szCs w:val="24"/>
        </w:rPr>
        <w:t>En conclusión,</w:t>
      </w:r>
      <w:r w:rsidR="00555E53" w:rsidRPr="00A3025D">
        <w:rPr>
          <w:rFonts w:ascii="Garamond" w:hAnsi="Garamond"/>
          <w:sz w:val="24"/>
          <w:szCs w:val="24"/>
        </w:rPr>
        <w:t xml:space="preserve"> el P</w:t>
      </w:r>
      <w:r w:rsidRPr="00A3025D">
        <w:rPr>
          <w:rFonts w:ascii="Garamond" w:hAnsi="Garamond"/>
          <w:sz w:val="24"/>
          <w:szCs w:val="24"/>
        </w:rPr>
        <w:t xml:space="preserve">oder </w:t>
      </w:r>
      <w:r w:rsidR="00555E53" w:rsidRPr="00A3025D">
        <w:rPr>
          <w:rFonts w:ascii="Garamond" w:hAnsi="Garamond"/>
          <w:sz w:val="24"/>
          <w:szCs w:val="24"/>
        </w:rPr>
        <w:t>E</w:t>
      </w:r>
      <w:r w:rsidRPr="00A3025D">
        <w:rPr>
          <w:rFonts w:ascii="Garamond" w:hAnsi="Garamond"/>
          <w:sz w:val="24"/>
          <w:szCs w:val="24"/>
        </w:rPr>
        <w:t>jecutivo está vulnerando</w:t>
      </w:r>
      <w:r w:rsidR="00555E53" w:rsidRPr="00A3025D">
        <w:rPr>
          <w:rFonts w:ascii="Garamond" w:hAnsi="Garamond"/>
          <w:sz w:val="24"/>
          <w:szCs w:val="24"/>
        </w:rPr>
        <w:t xml:space="preserve"> de manera indubitable una disposición constitucional que le impone una obligación de h</w:t>
      </w:r>
      <w:r w:rsidR="00AF73A6" w:rsidRPr="00AD6BC5">
        <w:rPr>
          <w:rFonts w:ascii="Garamond" w:hAnsi="Garamond"/>
          <w:sz w:val="24"/>
          <w:szCs w:val="24"/>
        </w:rPr>
        <w:t>acer; y, cuanto más se prolonga</w:t>
      </w:r>
      <w:r w:rsidR="00555E53" w:rsidRPr="00AD6BC5">
        <w:rPr>
          <w:rFonts w:ascii="Garamond" w:hAnsi="Garamond"/>
          <w:sz w:val="24"/>
          <w:szCs w:val="24"/>
        </w:rPr>
        <w:t xml:space="preserve"> el estado de incumplimiento de esa obligación, mayor es la afectac</w:t>
      </w:r>
      <w:r w:rsidRPr="00AD6BC5">
        <w:rPr>
          <w:rFonts w:ascii="Garamond" w:hAnsi="Garamond"/>
          <w:sz w:val="24"/>
          <w:szCs w:val="24"/>
        </w:rPr>
        <w:t>i</w:t>
      </w:r>
      <w:r w:rsidR="00555E53" w:rsidRPr="00AD6BC5">
        <w:rPr>
          <w:rFonts w:ascii="Garamond" w:hAnsi="Garamond"/>
          <w:sz w:val="24"/>
          <w:szCs w:val="24"/>
        </w:rPr>
        <w:t>ón de derechos que ella genera.</w:t>
      </w:r>
    </w:p>
    <w:p w:rsidR="00074DC8" w:rsidRPr="00A3025D" w:rsidRDefault="00074DC8" w:rsidP="001C3E7D">
      <w:pPr>
        <w:spacing w:line="360" w:lineRule="auto"/>
        <w:ind w:firstLine="360"/>
        <w:jc w:val="both"/>
        <w:rPr>
          <w:rFonts w:ascii="Garamond" w:hAnsi="Garamond"/>
          <w:sz w:val="24"/>
          <w:szCs w:val="24"/>
        </w:rPr>
      </w:pPr>
    </w:p>
    <w:p w:rsidR="00E7397E" w:rsidRPr="001C3E7D" w:rsidRDefault="00190F79" w:rsidP="001C3E7D">
      <w:pPr>
        <w:pStyle w:val="Prrafodelista"/>
        <w:numPr>
          <w:ilvl w:val="0"/>
          <w:numId w:val="5"/>
        </w:numPr>
        <w:spacing w:line="360" w:lineRule="auto"/>
        <w:jc w:val="both"/>
        <w:rPr>
          <w:rFonts w:ascii="Garamond" w:hAnsi="Garamond"/>
          <w:b/>
          <w:sz w:val="24"/>
          <w:szCs w:val="24"/>
        </w:rPr>
      </w:pPr>
      <w:r w:rsidRPr="00AD6BC5">
        <w:rPr>
          <w:rFonts w:ascii="Garamond" w:hAnsi="Garamond"/>
          <w:b/>
          <w:sz w:val="24"/>
          <w:szCs w:val="24"/>
        </w:rPr>
        <w:t>Derechos afectados por la conducta del Poder Ejecutivo</w:t>
      </w:r>
    </w:p>
    <w:p w:rsidR="00735882" w:rsidRPr="00E7397E" w:rsidRDefault="00EE04D6" w:rsidP="00CD31A9">
      <w:pPr>
        <w:pStyle w:val="Prrafodelista"/>
        <w:numPr>
          <w:ilvl w:val="0"/>
          <w:numId w:val="8"/>
        </w:numPr>
        <w:spacing w:line="360" w:lineRule="auto"/>
        <w:jc w:val="both"/>
        <w:rPr>
          <w:rFonts w:ascii="Garamond" w:hAnsi="Garamond"/>
          <w:b/>
          <w:sz w:val="24"/>
          <w:szCs w:val="24"/>
        </w:rPr>
      </w:pPr>
      <w:r w:rsidRPr="00E7397E">
        <w:rPr>
          <w:rFonts w:ascii="Garamond" w:hAnsi="Garamond"/>
          <w:b/>
          <w:sz w:val="24"/>
          <w:szCs w:val="24"/>
        </w:rPr>
        <w:t>Vulneración del derecho de a</w:t>
      </w:r>
      <w:r w:rsidR="00735882" w:rsidRPr="00E7397E">
        <w:rPr>
          <w:rFonts w:ascii="Garamond" w:hAnsi="Garamond"/>
          <w:b/>
          <w:sz w:val="24"/>
          <w:szCs w:val="24"/>
        </w:rPr>
        <w:t>cceso a la información</w:t>
      </w:r>
      <w:r w:rsidRPr="00E7397E">
        <w:rPr>
          <w:rFonts w:ascii="Garamond" w:hAnsi="Garamond"/>
          <w:b/>
          <w:sz w:val="24"/>
          <w:szCs w:val="24"/>
        </w:rPr>
        <w:t xml:space="preserve"> pública</w:t>
      </w:r>
    </w:p>
    <w:p w:rsidR="00596CB1" w:rsidRPr="004419B4" w:rsidRDefault="00CD31A9" w:rsidP="00E46754">
      <w:pPr>
        <w:spacing w:line="360" w:lineRule="auto"/>
        <w:ind w:firstLine="360"/>
        <w:jc w:val="both"/>
        <w:rPr>
          <w:rFonts w:ascii="Garamond" w:hAnsi="Garamond"/>
          <w:sz w:val="24"/>
          <w:szCs w:val="24"/>
          <w:lang w:val="es-ES"/>
        </w:rPr>
      </w:pPr>
      <w:r w:rsidRPr="00E7397E">
        <w:rPr>
          <w:rFonts w:ascii="Garamond" w:hAnsi="Garamond"/>
          <w:bCs/>
          <w:sz w:val="24"/>
          <w:szCs w:val="24"/>
        </w:rPr>
        <w:t>El artículo 12 de la Constitución de</w:t>
      </w:r>
      <w:r w:rsidR="00D7577E" w:rsidRPr="00E7397E">
        <w:rPr>
          <w:rFonts w:ascii="Garamond" w:hAnsi="Garamond"/>
          <w:sz w:val="24"/>
          <w:szCs w:val="24"/>
        </w:rPr>
        <w:t xml:space="preserve"> </w:t>
      </w:r>
      <w:r w:rsidRPr="00E7397E">
        <w:rPr>
          <w:rFonts w:ascii="Garamond" w:hAnsi="Garamond"/>
          <w:sz w:val="24"/>
          <w:szCs w:val="24"/>
        </w:rPr>
        <w:t>l</w:t>
      </w:r>
      <w:r w:rsidR="00D7577E" w:rsidRPr="00E7397E">
        <w:rPr>
          <w:rFonts w:ascii="Garamond" w:hAnsi="Garamond"/>
          <w:sz w:val="24"/>
          <w:szCs w:val="24"/>
        </w:rPr>
        <w:t>a Ciudad garantiza e</w:t>
      </w:r>
      <w:r w:rsidR="00596CB1" w:rsidRPr="00E7397E">
        <w:rPr>
          <w:rFonts w:ascii="Garamond" w:hAnsi="Garamond"/>
          <w:sz w:val="24"/>
          <w:szCs w:val="24"/>
        </w:rPr>
        <w:t>l derecho a requerir, difundir y recibir información</w:t>
      </w:r>
      <w:r w:rsidR="00D7577E" w:rsidRPr="00A3025D">
        <w:rPr>
          <w:rFonts w:ascii="Garamond" w:hAnsi="Garamond"/>
          <w:sz w:val="24"/>
          <w:szCs w:val="24"/>
        </w:rPr>
        <w:t xml:space="preserve">. </w:t>
      </w:r>
      <w:r w:rsidR="0070347F">
        <w:rPr>
          <w:rFonts w:ascii="Garamond" w:hAnsi="Garamond"/>
          <w:sz w:val="24"/>
          <w:szCs w:val="24"/>
        </w:rPr>
        <w:t xml:space="preserve">Este derecho se encuentra consagrado también en varias normas de carácter federal, como </w:t>
      </w:r>
      <w:r w:rsidR="00E45F74">
        <w:rPr>
          <w:rFonts w:ascii="Garamond" w:hAnsi="Garamond"/>
          <w:sz w:val="24"/>
          <w:szCs w:val="24"/>
        </w:rPr>
        <w:t xml:space="preserve">el artículo 13 de la CADH, o los artículos 18 y 19 del PIDCYP. </w:t>
      </w:r>
      <w:r w:rsidR="00D7577E" w:rsidRPr="00A3025D">
        <w:rPr>
          <w:rFonts w:ascii="Garamond" w:hAnsi="Garamond"/>
          <w:sz w:val="24"/>
          <w:szCs w:val="24"/>
        </w:rPr>
        <w:t>Distintos tribunales de nuestro sistema han identificado correctamente que el acceso</w:t>
      </w:r>
      <w:r w:rsidR="00E46754" w:rsidRPr="00A3025D">
        <w:rPr>
          <w:rFonts w:ascii="Garamond" w:hAnsi="Garamond"/>
          <w:sz w:val="24"/>
          <w:szCs w:val="24"/>
        </w:rPr>
        <w:t xml:space="preserve"> a la información pública es un derecho “…</w:t>
      </w:r>
      <w:r w:rsidR="00E46754" w:rsidRPr="00A3025D">
        <w:rPr>
          <w:rFonts w:ascii="Garamond" w:hAnsi="Garamond"/>
          <w:sz w:val="24"/>
          <w:szCs w:val="24"/>
          <w:lang w:val="es-ES"/>
        </w:rPr>
        <w:t>de indudable interés p</w:t>
      </w:r>
      <w:r w:rsidR="00E46754" w:rsidRPr="00A3025D">
        <w:rPr>
          <w:rFonts w:ascii="Garamond" w:hAnsi="Garamond" w:hint="eastAsia"/>
          <w:sz w:val="24"/>
          <w:szCs w:val="24"/>
          <w:lang w:val="es-ES"/>
        </w:rPr>
        <w:t>ú</w:t>
      </w:r>
      <w:r w:rsidR="00E46754" w:rsidRPr="00A3025D">
        <w:rPr>
          <w:rFonts w:ascii="Garamond" w:hAnsi="Garamond"/>
          <w:sz w:val="24"/>
          <w:szCs w:val="24"/>
          <w:lang w:val="es-ES"/>
        </w:rPr>
        <w:t xml:space="preserve">blico y que </w:t>
      </w:r>
      <w:proofErr w:type="gramStart"/>
      <w:r w:rsidR="00E46754" w:rsidRPr="00A3025D">
        <w:rPr>
          <w:rFonts w:ascii="Garamond" w:hAnsi="Garamond"/>
          <w:sz w:val="24"/>
          <w:szCs w:val="24"/>
          <w:lang w:val="es-ES"/>
        </w:rPr>
        <w:t>ha[</w:t>
      </w:r>
      <w:proofErr w:type="gramEnd"/>
      <w:r w:rsidR="00E46754" w:rsidRPr="00A3025D">
        <w:rPr>
          <w:rFonts w:ascii="Garamond" w:hAnsi="Garamond"/>
          <w:sz w:val="24"/>
          <w:szCs w:val="24"/>
          <w:lang w:val="es-ES"/>
        </w:rPr>
        <w:t>ce] a la transparencia y a la publicidad de gesti</w:t>
      </w:r>
      <w:r w:rsidR="00E46754" w:rsidRPr="00A3025D">
        <w:rPr>
          <w:rFonts w:ascii="Garamond" w:hAnsi="Garamond" w:hint="eastAsia"/>
          <w:sz w:val="24"/>
          <w:szCs w:val="24"/>
          <w:lang w:val="es-ES"/>
        </w:rPr>
        <w:t>ó</w:t>
      </w:r>
      <w:r w:rsidR="00E46754" w:rsidRPr="00A3025D">
        <w:rPr>
          <w:rFonts w:ascii="Garamond" w:hAnsi="Garamond"/>
          <w:sz w:val="24"/>
          <w:szCs w:val="24"/>
          <w:lang w:val="es-ES"/>
        </w:rPr>
        <w:t>n de gobierno, pilares fundamentales de una sociedad que se precie de ser democr</w:t>
      </w:r>
      <w:r w:rsidR="00E46754" w:rsidRPr="00A3025D">
        <w:rPr>
          <w:rFonts w:ascii="Garamond" w:hAnsi="Garamond" w:hint="eastAsia"/>
          <w:sz w:val="24"/>
          <w:szCs w:val="24"/>
          <w:lang w:val="es-ES"/>
        </w:rPr>
        <w:t>á</w:t>
      </w:r>
      <w:r w:rsidR="00E46754" w:rsidRPr="00A3025D">
        <w:rPr>
          <w:rFonts w:ascii="Garamond" w:hAnsi="Garamond"/>
          <w:sz w:val="24"/>
          <w:szCs w:val="24"/>
          <w:lang w:val="es-ES"/>
        </w:rPr>
        <w:t>tica</w:t>
      </w:r>
      <w:r w:rsidR="00D7577E" w:rsidRPr="00A3025D">
        <w:rPr>
          <w:rFonts w:ascii="Garamond" w:hAnsi="Garamond"/>
          <w:sz w:val="24"/>
          <w:szCs w:val="24"/>
        </w:rPr>
        <w:t>”</w:t>
      </w:r>
      <w:r w:rsidR="00E46754" w:rsidRPr="00A3025D">
        <w:rPr>
          <w:rFonts w:ascii="Garamond" w:hAnsi="Garamond"/>
          <w:sz w:val="24"/>
          <w:szCs w:val="24"/>
        </w:rPr>
        <w:t xml:space="preserve"> (CSJN,</w:t>
      </w:r>
      <w:r w:rsidR="00E46754" w:rsidRPr="00C67BE2">
        <w:rPr>
          <w:rFonts w:ascii="Garamond" w:eastAsia="NotDefSpecial" w:hAnsi="Garamond" w:cs="NotDefSpecial"/>
          <w:sz w:val="10"/>
          <w:szCs w:val="10"/>
          <w:lang w:val="es-ES"/>
        </w:rPr>
        <w:t xml:space="preserve"> </w:t>
      </w:r>
      <w:r w:rsidR="00E46754" w:rsidRPr="00A3025D">
        <w:rPr>
          <w:rFonts w:ascii="Garamond" w:hAnsi="Garamond"/>
          <w:sz w:val="24"/>
          <w:szCs w:val="24"/>
          <w:lang w:val="es-ES"/>
        </w:rPr>
        <w:t>A. 917. XLVI., “Asociaci</w:t>
      </w:r>
      <w:r w:rsidR="00E46754" w:rsidRPr="00A3025D">
        <w:rPr>
          <w:rFonts w:ascii="Garamond" w:hAnsi="Garamond" w:hint="eastAsia"/>
          <w:sz w:val="24"/>
          <w:szCs w:val="24"/>
          <w:lang w:val="es-ES"/>
        </w:rPr>
        <w:t>ó</w:t>
      </w:r>
      <w:r w:rsidR="00E46754" w:rsidRPr="00A3025D">
        <w:rPr>
          <w:rFonts w:ascii="Garamond" w:hAnsi="Garamond"/>
          <w:sz w:val="24"/>
          <w:szCs w:val="24"/>
          <w:lang w:val="es-ES"/>
        </w:rPr>
        <w:t>n por los Derechos Civiles</w:t>
      </w:r>
      <w:r w:rsidR="00E46754" w:rsidRPr="00A3025D">
        <w:rPr>
          <w:rFonts w:ascii="Garamond" w:hAnsi="Garamond"/>
          <w:sz w:val="24"/>
          <w:szCs w:val="24"/>
        </w:rPr>
        <w:t>”)</w:t>
      </w:r>
      <w:r w:rsidR="00D7577E" w:rsidRPr="00A3025D">
        <w:rPr>
          <w:rFonts w:ascii="Garamond" w:hAnsi="Garamond"/>
          <w:sz w:val="24"/>
          <w:szCs w:val="24"/>
        </w:rPr>
        <w:t>.</w:t>
      </w:r>
      <w:r w:rsidR="00BB5AD8" w:rsidRPr="00A3025D">
        <w:rPr>
          <w:rFonts w:ascii="Garamond" w:hAnsi="Garamond"/>
          <w:sz w:val="24"/>
          <w:szCs w:val="24"/>
        </w:rPr>
        <w:t xml:space="preserve"> Además, el artículo 105 inc. 1 de la misma Carta fija el deber del Poder Ejecutivo de arbitrar los medios idóneo</w:t>
      </w:r>
      <w:r w:rsidR="00BB5AD8" w:rsidRPr="004419B4">
        <w:rPr>
          <w:rFonts w:ascii="Garamond" w:hAnsi="Garamond"/>
          <w:sz w:val="24"/>
          <w:szCs w:val="24"/>
        </w:rPr>
        <w:t>s para poner a disposición de la ciudadanía toda la información y documentación atinente a la gestión de gobierno.</w:t>
      </w:r>
    </w:p>
    <w:p w:rsidR="00765163" w:rsidRPr="00A3025D" w:rsidRDefault="00E85479" w:rsidP="008D158F">
      <w:pPr>
        <w:spacing w:line="360" w:lineRule="auto"/>
        <w:ind w:firstLine="360"/>
        <w:jc w:val="both"/>
        <w:rPr>
          <w:rFonts w:ascii="Garamond" w:hAnsi="Garamond"/>
          <w:sz w:val="24"/>
          <w:szCs w:val="24"/>
        </w:rPr>
      </w:pPr>
      <w:r w:rsidRPr="004419B4">
        <w:rPr>
          <w:rFonts w:ascii="Garamond" w:hAnsi="Garamond"/>
          <w:sz w:val="24"/>
          <w:szCs w:val="24"/>
        </w:rPr>
        <w:t>Asimismo, son consistentes la normativa, la doctrina y la jurisprudenc</w:t>
      </w:r>
      <w:r w:rsidR="00417C5F" w:rsidRPr="004419B4">
        <w:rPr>
          <w:rFonts w:ascii="Garamond" w:hAnsi="Garamond"/>
          <w:sz w:val="24"/>
          <w:szCs w:val="24"/>
        </w:rPr>
        <w:t>ia en afirmar que, para que el</w:t>
      </w:r>
      <w:r w:rsidRPr="00E7397E">
        <w:rPr>
          <w:rFonts w:ascii="Garamond" w:hAnsi="Garamond"/>
          <w:sz w:val="24"/>
          <w:szCs w:val="24"/>
        </w:rPr>
        <w:t xml:space="preserve"> derecho </w:t>
      </w:r>
      <w:r w:rsidR="00417C5F" w:rsidRPr="00E7397E">
        <w:rPr>
          <w:rFonts w:ascii="Garamond" w:hAnsi="Garamond"/>
          <w:sz w:val="24"/>
          <w:szCs w:val="24"/>
        </w:rPr>
        <w:t xml:space="preserve">de acceso a la información pública </w:t>
      </w:r>
      <w:r w:rsidRPr="00E7397E">
        <w:rPr>
          <w:rFonts w:ascii="Garamond" w:hAnsi="Garamond"/>
          <w:sz w:val="24"/>
          <w:szCs w:val="24"/>
        </w:rPr>
        <w:t xml:space="preserve">sea genuinamente garantizado, la información debe ser </w:t>
      </w:r>
      <w:r w:rsidRPr="00A3025D">
        <w:rPr>
          <w:rFonts w:ascii="Garamond" w:hAnsi="Garamond"/>
          <w:b/>
          <w:sz w:val="24"/>
          <w:szCs w:val="24"/>
        </w:rPr>
        <w:t>oportuna y completa</w:t>
      </w:r>
      <w:r w:rsidRPr="00A3025D">
        <w:rPr>
          <w:rFonts w:ascii="Garamond" w:hAnsi="Garamond"/>
          <w:sz w:val="24"/>
          <w:szCs w:val="24"/>
        </w:rPr>
        <w:t>.</w:t>
      </w:r>
      <w:r w:rsidR="008D158F" w:rsidRPr="00A3025D">
        <w:rPr>
          <w:rFonts w:ascii="Garamond" w:hAnsi="Garamond"/>
          <w:sz w:val="24"/>
          <w:szCs w:val="24"/>
        </w:rPr>
        <w:t xml:space="preserve"> Por lo demás, la relevancia de acceder a información pública vinculada con el uso de los recursos del Estado ya ha sido puesta en evidencia por la Corte Suprema de Justicia de la Nación (ver C. 830. XLVI,</w:t>
      </w:r>
      <w:r w:rsidR="00765163" w:rsidRPr="00A3025D">
        <w:rPr>
          <w:rFonts w:ascii="Garamond" w:hAnsi="Garamond"/>
          <w:sz w:val="24"/>
          <w:szCs w:val="24"/>
        </w:rPr>
        <w:t xml:space="preserve"> “CIPPEC</w:t>
      </w:r>
      <w:r w:rsidR="00417C5F" w:rsidRPr="00A3025D">
        <w:rPr>
          <w:rFonts w:ascii="Garamond" w:hAnsi="Garamond"/>
          <w:sz w:val="24"/>
          <w:szCs w:val="24"/>
        </w:rPr>
        <w:t>”</w:t>
      </w:r>
      <w:r w:rsidR="00765163" w:rsidRPr="00A3025D">
        <w:rPr>
          <w:rFonts w:ascii="Garamond" w:hAnsi="Garamond"/>
          <w:sz w:val="24"/>
          <w:szCs w:val="24"/>
        </w:rPr>
        <w:t>)</w:t>
      </w:r>
      <w:r w:rsidR="00BB5AD8" w:rsidRPr="00A3025D">
        <w:rPr>
          <w:rFonts w:ascii="Garamond" w:hAnsi="Garamond"/>
          <w:sz w:val="24"/>
          <w:szCs w:val="24"/>
        </w:rPr>
        <w:t>.</w:t>
      </w:r>
    </w:p>
    <w:p w:rsidR="00E7397E" w:rsidRPr="00F22952" w:rsidRDefault="00393C9C" w:rsidP="00F22952">
      <w:pPr>
        <w:spacing w:line="360" w:lineRule="auto"/>
        <w:ind w:firstLine="360"/>
        <w:jc w:val="both"/>
        <w:rPr>
          <w:rFonts w:ascii="Garamond" w:hAnsi="Garamond"/>
          <w:b/>
          <w:sz w:val="24"/>
          <w:szCs w:val="24"/>
        </w:rPr>
      </w:pPr>
      <w:r w:rsidRPr="00C67BE2">
        <w:rPr>
          <w:rFonts w:ascii="Garamond" w:hAnsi="Garamond"/>
          <w:b/>
          <w:sz w:val="24"/>
          <w:szCs w:val="24"/>
        </w:rPr>
        <w:t>En consecuencia, cuando el Poder Ejecutivo no hace pública información de</w:t>
      </w:r>
      <w:r w:rsidR="00E7397E">
        <w:rPr>
          <w:rFonts w:ascii="Garamond" w:hAnsi="Garamond"/>
          <w:b/>
          <w:sz w:val="24"/>
          <w:szCs w:val="24"/>
        </w:rPr>
        <w:t xml:space="preserve"> indudable</w:t>
      </w:r>
      <w:r w:rsidRPr="00C67BE2">
        <w:rPr>
          <w:rFonts w:ascii="Garamond" w:hAnsi="Garamond"/>
          <w:b/>
          <w:sz w:val="24"/>
          <w:szCs w:val="24"/>
        </w:rPr>
        <w:t xml:space="preserve"> interés general</w:t>
      </w:r>
      <w:r w:rsidR="00E7397E">
        <w:rPr>
          <w:rFonts w:ascii="Garamond" w:hAnsi="Garamond"/>
          <w:b/>
          <w:sz w:val="24"/>
          <w:szCs w:val="24"/>
        </w:rPr>
        <w:t>, como es la información contenida en el Proyecto de Ley  de Presupuesto,</w:t>
      </w:r>
      <w:r w:rsidRPr="00F22952">
        <w:rPr>
          <w:rFonts w:ascii="Garamond" w:hAnsi="Garamond"/>
          <w:b/>
          <w:sz w:val="24"/>
          <w:szCs w:val="24"/>
        </w:rPr>
        <w:t xml:space="preserve"> en el plazo normativamente determinado para ello, </w:t>
      </w:r>
      <w:r w:rsidR="0097688B" w:rsidRPr="00F22952">
        <w:rPr>
          <w:rFonts w:ascii="Garamond" w:hAnsi="Garamond"/>
          <w:b/>
          <w:sz w:val="24"/>
          <w:szCs w:val="24"/>
        </w:rPr>
        <w:t>no garantiza el acceso oportuno a la información pública, afectando así este derecho constitucional.</w:t>
      </w:r>
    </w:p>
    <w:p w:rsidR="00735882" w:rsidRPr="00E7397E" w:rsidRDefault="00EE04D6" w:rsidP="00EE04D6">
      <w:pPr>
        <w:pStyle w:val="Prrafodelista"/>
        <w:numPr>
          <w:ilvl w:val="0"/>
          <w:numId w:val="8"/>
        </w:numPr>
        <w:spacing w:line="360" w:lineRule="auto"/>
        <w:jc w:val="both"/>
        <w:rPr>
          <w:rFonts w:ascii="Garamond" w:hAnsi="Garamond"/>
          <w:b/>
          <w:sz w:val="24"/>
          <w:szCs w:val="24"/>
        </w:rPr>
      </w:pPr>
      <w:r w:rsidRPr="00E7397E">
        <w:rPr>
          <w:rFonts w:ascii="Garamond" w:hAnsi="Garamond"/>
          <w:b/>
          <w:sz w:val="24"/>
          <w:szCs w:val="24"/>
        </w:rPr>
        <w:lastRenderedPageBreak/>
        <w:t>Vulneración del derecho a la p</w:t>
      </w:r>
      <w:r w:rsidR="00735882" w:rsidRPr="00E7397E">
        <w:rPr>
          <w:rFonts w:ascii="Garamond" w:hAnsi="Garamond"/>
          <w:b/>
          <w:sz w:val="24"/>
          <w:szCs w:val="24"/>
        </w:rPr>
        <w:t>articipación</w:t>
      </w:r>
    </w:p>
    <w:p w:rsidR="00662DF4" w:rsidRPr="00A3025D" w:rsidRDefault="008646E5" w:rsidP="008646E5">
      <w:pPr>
        <w:spacing w:line="360" w:lineRule="auto"/>
        <w:ind w:firstLine="360"/>
        <w:jc w:val="both"/>
        <w:rPr>
          <w:rFonts w:ascii="Garamond" w:hAnsi="Garamond"/>
          <w:sz w:val="24"/>
          <w:szCs w:val="24"/>
        </w:rPr>
      </w:pPr>
      <w:r w:rsidRPr="00E7397E">
        <w:rPr>
          <w:rFonts w:ascii="Garamond" w:hAnsi="Garamond"/>
          <w:sz w:val="24"/>
          <w:szCs w:val="24"/>
        </w:rPr>
        <w:t xml:space="preserve">El artículo 52 de la Carta local es claro cuando determina que el presupuesto tiene </w:t>
      </w:r>
      <w:r w:rsidR="007B02DE" w:rsidRPr="00F22952">
        <w:rPr>
          <w:rFonts w:ascii="Garamond" w:hAnsi="Garamond"/>
          <w:b/>
          <w:sz w:val="24"/>
          <w:szCs w:val="24"/>
        </w:rPr>
        <w:t>carácter participativ</w:t>
      </w:r>
      <w:r w:rsidR="002E7E5B" w:rsidRPr="00F22952">
        <w:rPr>
          <w:rFonts w:ascii="Garamond" w:hAnsi="Garamond"/>
          <w:b/>
          <w:sz w:val="24"/>
          <w:szCs w:val="24"/>
        </w:rPr>
        <w:t>o.</w:t>
      </w:r>
      <w:r w:rsidR="002E7E5B" w:rsidRPr="00E7397E">
        <w:rPr>
          <w:rFonts w:ascii="Garamond" w:hAnsi="Garamond"/>
          <w:sz w:val="24"/>
          <w:szCs w:val="24"/>
        </w:rPr>
        <w:t xml:space="preserve"> </w:t>
      </w:r>
      <w:r w:rsidR="00662DF4" w:rsidRPr="00E7397E">
        <w:rPr>
          <w:rFonts w:ascii="Garamond" w:hAnsi="Garamond"/>
          <w:sz w:val="24"/>
          <w:szCs w:val="24"/>
        </w:rPr>
        <w:t xml:space="preserve">Asimismo, el artículo 11 de esa Constitución establece que “La Ciudad promueve la remoción de los obstáculos de cualquier orden que, limitando de hecho la igualdad y la libertad, impidan el pleno desarrollo de la persona y </w:t>
      </w:r>
      <w:r w:rsidR="00662DF4" w:rsidRPr="00963120">
        <w:rPr>
          <w:rFonts w:ascii="Garamond" w:hAnsi="Garamond"/>
          <w:b/>
          <w:sz w:val="24"/>
          <w:szCs w:val="24"/>
        </w:rPr>
        <w:t>la efectiva participación en la vida política</w:t>
      </w:r>
      <w:r w:rsidR="00662DF4" w:rsidRPr="00963120">
        <w:rPr>
          <w:rFonts w:ascii="Garamond" w:hAnsi="Garamond"/>
          <w:sz w:val="24"/>
          <w:szCs w:val="24"/>
        </w:rPr>
        <w:t xml:space="preserve">, económica o social de la comunidad” (el destacado </w:t>
      </w:r>
      <w:r w:rsidR="00D5694B" w:rsidRPr="00A3025D">
        <w:rPr>
          <w:rFonts w:ascii="Garamond" w:hAnsi="Garamond"/>
          <w:sz w:val="24"/>
          <w:szCs w:val="24"/>
        </w:rPr>
        <w:t>no se encue</w:t>
      </w:r>
      <w:r w:rsidR="00417C5F" w:rsidRPr="00A3025D">
        <w:rPr>
          <w:rFonts w:ascii="Garamond" w:hAnsi="Garamond"/>
          <w:sz w:val="24"/>
          <w:szCs w:val="24"/>
        </w:rPr>
        <w:t>ntra en el original), lo que es coherente</w:t>
      </w:r>
      <w:r w:rsidR="00D5694B" w:rsidRPr="00A3025D">
        <w:rPr>
          <w:rFonts w:ascii="Garamond" w:hAnsi="Garamond"/>
          <w:sz w:val="24"/>
          <w:szCs w:val="24"/>
        </w:rPr>
        <w:t xml:space="preserve"> con el entramado de derechos políticos asegurados en los artículos 61 y siguientes</w:t>
      </w:r>
      <w:r w:rsidR="00BD3F55" w:rsidRPr="00A3025D">
        <w:rPr>
          <w:rFonts w:ascii="Garamond" w:hAnsi="Garamond"/>
          <w:sz w:val="24"/>
          <w:szCs w:val="24"/>
        </w:rPr>
        <w:t xml:space="preserve"> del mismo cuerpo normativo</w:t>
      </w:r>
      <w:r w:rsidR="00F2440C">
        <w:rPr>
          <w:rFonts w:ascii="Garamond" w:hAnsi="Garamond"/>
          <w:sz w:val="24"/>
          <w:szCs w:val="24"/>
        </w:rPr>
        <w:t xml:space="preserve">, y en particular con su artículo 1, que asegura la </w:t>
      </w:r>
      <w:r w:rsidR="00F2440C" w:rsidRPr="00F2440C">
        <w:rPr>
          <w:rFonts w:ascii="Garamond" w:hAnsi="Garamond"/>
          <w:sz w:val="24"/>
          <w:szCs w:val="24"/>
        </w:rPr>
        <w:t xml:space="preserve">democracia participativa </w:t>
      </w:r>
      <w:r w:rsidR="005D72FD">
        <w:rPr>
          <w:rFonts w:ascii="Garamond" w:hAnsi="Garamond"/>
          <w:sz w:val="24"/>
          <w:szCs w:val="24"/>
        </w:rPr>
        <w:t xml:space="preserve"> En el derecho federal, el artículo 25 del PDCYP</w:t>
      </w:r>
      <w:r w:rsidR="003B6AD9">
        <w:rPr>
          <w:rFonts w:ascii="Garamond" w:hAnsi="Garamond"/>
          <w:sz w:val="24"/>
          <w:szCs w:val="24"/>
        </w:rPr>
        <w:t xml:space="preserve"> asegura también el derecho de participación en la di</w:t>
      </w:r>
      <w:r w:rsidR="00D62EAA">
        <w:rPr>
          <w:rFonts w:ascii="Garamond" w:hAnsi="Garamond"/>
          <w:sz w:val="24"/>
          <w:szCs w:val="24"/>
        </w:rPr>
        <w:t>rección de los asuntos públicos, como también lo hace el artículo 23 de la CADH.</w:t>
      </w:r>
    </w:p>
    <w:p w:rsidR="00C72201" w:rsidRPr="00A3025D" w:rsidRDefault="00C72201" w:rsidP="008646E5">
      <w:pPr>
        <w:spacing w:line="360" w:lineRule="auto"/>
        <w:ind w:firstLine="360"/>
        <w:jc w:val="both"/>
        <w:rPr>
          <w:rFonts w:ascii="Garamond" w:hAnsi="Garamond"/>
          <w:sz w:val="24"/>
          <w:szCs w:val="24"/>
        </w:rPr>
      </w:pPr>
      <w:r w:rsidRPr="00A3025D">
        <w:rPr>
          <w:rFonts w:ascii="Garamond" w:hAnsi="Garamond"/>
          <w:sz w:val="24"/>
          <w:szCs w:val="24"/>
        </w:rPr>
        <w:t xml:space="preserve">La Ley 70 se orienta en el mismo sentido, en cuanto </w:t>
      </w:r>
      <w:r w:rsidR="00E81CD8" w:rsidRPr="00A3025D">
        <w:rPr>
          <w:rFonts w:ascii="Garamond" w:hAnsi="Garamond"/>
          <w:sz w:val="24"/>
          <w:szCs w:val="24"/>
        </w:rPr>
        <w:t>determina que el presupuesto de la Ciudad tiene carácter participativo</w:t>
      </w:r>
      <w:r w:rsidR="00E719CF" w:rsidRPr="00A3025D">
        <w:rPr>
          <w:rFonts w:ascii="Garamond" w:hAnsi="Garamond"/>
          <w:sz w:val="24"/>
          <w:szCs w:val="24"/>
        </w:rPr>
        <w:t>,</w:t>
      </w:r>
      <w:r w:rsidR="00E81CD8" w:rsidRPr="00A3025D">
        <w:rPr>
          <w:rFonts w:ascii="Garamond" w:hAnsi="Garamond"/>
          <w:sz w:val="24"/>
          <w:szCs w:val="24"/>
        </w:rPr>
        <w:t xml:space="preserve"> que se garantiza mediante la consulta a la población en el proceso de elaboración y seguimiento (artículo 29)</w:t>
      </w:r>
      <w:r w:rsidR="00E719CF" w:rsidRPr="00A3025D">
        <w:rPr>
          <w:rFonts w:ascii="Garamond" w:hAnsi="Garamond"/>
          <w:sz w:val="24"/>
          <w:szCs w:val="24"/>
        </w:rPr>
        <w:t>; también,</w:t>
      </w:r>
      <w:r w:rsidR="00E81CD8" w:rsidRPr="00A3025D">
        <w:rPr>
          <w:rFonts w:ascii="Garamond" w:hAnsi="Garamond"/>
          <w:sz w:val="24"/>
          <w:szCs w:val="24"/>
        </w:rPr>
        <w:t xml:space="preserve"> </w:t>
      </w:r>
      <w:r w:rsidR="00E719CF" w:rsidRPr="00A3025D">
        <w:rPr>
          <w:rFonts w:ascii="Garamond" w:hAnsi="Garamond"/>
          <w:sz w:val="24"/>
          <w:szCs w:val="24"/>
        </w:rPr>
        <w:t xml:space="preserve">asegura </w:t>
      </w:r>
      <w:r w:rsidR="00E81CD8" w:rsidRPr="00A3025D">
        <w:rPr>
          <w:rFonts w:ascii="Garamond" w:hAnsi="Garamond"/>
          <w:sz w:val="24"/>
          <w:szCs w:val="24"/>
        </w:rPr>
        <w:t>la participación de la población en la elaboración y seguimiento del Presupuesto Anual a través de foros temáticos y zonales (artículo 9).</w:t>
      </w:r>
    </w:p>
    <w:p w:rsidR="005E44C7" w:rsidRPr="00A3025D" w:rsidRDefault="002E7E5B" w:rsidP="005E44C7">
      <w:pPr>
        <w:spacing w:line="360" w:lineRule="auto"/>
        <w:ind w:firstLine="360"/>
        <w:jc w:val="both"/>
        <w:rPr>
          <w:rFonts w:ascii="Garamond" w:hAnsi="Garamond"/>
          <w:sz w:val="24"/>
          <w:szCs w:val="24"/>
        </w:rPr>
      </w:pPr>
      <w:r w:rsidRPr="00A3025D">
        <w:rPr>
          <w:rFonts w:ascii="Garamond" w:hAnsi="Garamond"/>
          <w:sz w:val="24"/>
          <w:szCs w:val="24"/>
        </w:rPr>
        <w:t>Respecto de esta</w:t>
      </w:r>
      <w:r w:rsidR="007D724F" w:rsidRPr="00A3025D">
        <w:rPr>
          <w:rFonts w:ascii="Garamond" w:hAnsi="Garamond"/>
          <w:sz w:val="24"/>
          <w:szCs w:val="24"/>
        </w:rPr>
        <w:t>s</w:t>
      </w:r>
      <w:r w:rsidRPr="00A3025D">
        <w:rPr>
          <w:rFonts w:ascii="Garamond" w:hAnsi="Garamond"/>
          <w:sz w:val="24"/>
          <w:szCs w:val="24"/>
        </w:rPr>
        <w:t xml:space="preserve"> cláusula</w:t>
      </w:r>
      <w:r w:rsidR="007D724F" w:rsidRPr="00A3025D">
        <w:rPr>
          <w:rFonts w:ascii="Garamond" w:hAnsi="Garamond"/>
          <w:sz w:val="24"/>
          <w:szCs w:val="24"/>
        </w:rPr>
        <w:t>s,</w:t>
      </w:r>
      <w:r w:rsidRPr="00A3025D">
        <w:rPr>
          <w:rFonts w:ascii="Garamond" w:hAnsi="Garamond"/>
          <w:sz w:val="24"/>
          <w:szCs w:val="24"/>
        </w:rPr>
        <w:t xml:space="preserve"> los tribunales del fuero han entendido que</w:t>
      </w:r>
      <w:r w:rsidR="00CB40DF" w:rsidRPr="00A3025D">
        <w:rPr>
          <w:rFonts w:ascii="Garamond" w:hAnsi="Garamond"/>
          <w:sz w:val="24"/>
          <w:szCs w:val="24"/>
        </w:rPr>
        <w:t xml:space="preserve"> “se trata de un principio de participación que impregna todo el articulado de la Constitución local” (</w:t>
      </w:r>
      <w:proofErr w:type="spellStart"/>
      <w:r w:rsidR="00CB40DF" w:rsidRPr="00A3025D">
        <w:rPr>
          <w:rFonts w:ascii="Garamond" w:hAnsi="Garamond"/>
          <w:sz w:val="24"/>
          <w:szCs w:val="24"/>
        </w:rPr>
        <w:t>CACAyT</w:t>
      </w:r>
      <w:proofErr w:type="spellEnd"/>
      <w:r w:rsidR="00CB40DF" w:rsidRPr="00A3025D">
        <w:rPr>
          <w:rFonts w:ascii="Garamond" w:hAnsi="Garamond"/>
          <w:sz w:val="24"/>
          <w:szCs w:val="24"/>
        </w:rPr>
        <w:t>, Sala II, “</w:t>
      </w:r>
      <w:proofErr w:type="spellStart"/>
      <w:r w:rsidR="00CB40DF" w:rsidRPr="00A3025D">
        <w:rPr>
          <w:rFonts w:ascii="Garamond" w:hAnsi="Garamond"/>
          <w:sz w:val="24"/>
          <w:szCs w:val="24"/>
        </w:rPr>
        <w:t>Desplats</w:t>
      </w:r>
      <w:proofErr w:type="spellEnd"/>
      <w:r w:rsidR="00AC0402" w:rsidRPr="00A3025D">
        <w:rPr>
          <w:rFonts w:ascii="Garamond" w:hAnsi="Garamond"/>
          <w:sz w:val="24"/>
          <w:szCs w:val="24"/>
        </w:rPr>
        <w:t xml:space="preserve">”, </w:t>
      </w:r>
      <w:proofErr w:type="spellStart"/>
      <w:r w:rsidR="007D724F" w:rsidRPr="00A3025D">
        <w:rPr>
          <w:rFonts w:ascii="Garamond" w:hAnsi="Garamond"/>
          <w:sz w:val="24"/>
          <w:szCs w:val="24"/>
        </w:rPr>
        <w:t>expte</w:t>
      </w:r>
      <w:proofErr w:type="spellEnd"/>
      <w:r w:rsidR="007D724F" w:rsidRPr="00A3025D">
        <w:rPr>
          <w:rFonts w:ascii="Garamond" w:hAnsi="Garamond"/>
          <w:sz w:val="24"/>
          <w:szCs w:val="24"/>
        </w:rPr>
        <w:t xml:space="preserve">. n° 8279/0, </w:t>
      </w:r>
      <w:proofErr w:type="spellStart"/>
      <w:r w:rsidR="00AC0402" w:rsidRPr="00A3025D">
        <w:rPr>
          <w:rFonts w:ascii="Garamond" w:hAnsi="Garamond"/>
          <w:sz w:val="24"/>
          <w:szCs w:val="24"/>
        </w:rPr>
        <w:t>sent</w:t>
      </w:r>
      <w:proofErr w:type="spellEnd"/>
      <w:r w:rsidR="00AC0402" w:rsidRPr="00A3025D">
        <w:rPr>
          <w:rFonts w:ascii="Garamond" w:hAnsi="Garamond"/>
          <w:sz w:val="24"/>
          <w:szCs w:val="24"/>
        </w:rPr>
        <w:t xml:space="preserve">. del </w:t>
      </w:r>
      <w:r w:rsidR="007D724F" w:rsidRPr="00A3025D">
        <w:rPr>
          <w:rFonts w:ascii="Garamond" w:hAnsi="Garamond"/>
          <w:sz w:val="24"/>
          <w:szCs w:val="24"/>
        </w:rPr>
        <w:t>06/04/2004).</w:t>
      </w:r>
      <w:r w:rsidR="00254DA4" w:rsidRPr="00A3025D">
        <w:rPr>
          <w:rFonts w:ascii="Garamond" w:hAnsi="Garamond"/>
          <w:sz w:val="24"/>
          <w:szCs w:val="24"/>
        </w:rPr>
        <w:t xml:space="preserve"> En igual línea</w:t>
      </w:r>
      <w:r w:rsidR="00E1150D" w:rsidRPr="00A3025D">
        <w:rPr>
          <w:rFonts w:ascii="Garamond" w:hAnsi="Garamond"/>
          <w:sz w:val="24"/>
          <w:szCs w:val="24"/>
        </w:rPr>
        <w:t xml:space="preserve">, </w:t>
      </w:r>
      <w:r w:rsidR="005E44C7" w:rsidRPr="00A3025D">
        <w:rPr>
          <w:rFonts w:ascii="Garamond" w:hAnsi="Garamond"/>
          <w:sz w:val="24"/>
          <w:szCs w:val="24"/>
        </w:rPr>
        <w:t xml:space="preserve">han identificado que el </w:t>
      </w:r>
      <w:r w:rsidR="00662D9C" w:rsidRPr="00A3025D">
        <w:rPr>
          <w:rFonts w:ascii="Garamond" w:hAnsi="Garamond"/>
          <w:sz w:val="24"/>
          <w:szCs w:val="24"/>
        </w:rPr>
        <w:t xml:space="preserve">régimen jurídico-institucional </w:t>
      </w:r>
      <w:r w:rsidR="005E44C7" w:rsidRPr="00A3025D">
        <w:rPr>
          <w:rFonts w:ascii="Garamond" w:hAnsi="Garamond"/>
          <w:sz w:val="24"/>
          <w:szCs w:val="24"/>
        </w:rPr>
        <w:t xml:space="preserve">de </w:t>
      </w:r>
      <w:r w:rsidR="00662D9C" w:rsidRPr="00A3025D">
        <w:rPr>
          <w:rFonts w:ascii="Garamond" w:hAnsi="Garamond"/>
          <w:sz w:val="24"/>
          <w:szCs w:val="24"/>
        </w:rPr>
        <w:t xml:space="preserve">la Ciudad </w:t>
      </w:r>
      <w:r w:rsidR="005E44C7" w:rsidRPr="00A3025D">
        <w:rPr>
          <w:rFonts w:ascii="Garamond" w:hAnsi="Garamond"/>
          <w:sz w:val="24"/>
          <w:szCs w:val="24"/>
        </w:rPr>
        <w:t xml:space="preserve">es </w:t>
      </w:r>
      <w:r w:rsidR="00662D9C" w:rsidRPr="00A3025D">
        <w:rPr>
          <w:rFonts w:ascii="Garamond" w:hAnsi="Garamond"/>
          <w:sz w:val="24"/>
          <w:szCs w:val="24"/>
        </w:rPr>
        <w:t xml:space="preserve">de marcado carácter participativo </w:t>
      </w:r>
      <w:r w:rsidR="00E460CF" w:rsidRPr="00A3025D">
        <w:rPr>
          <w:rFonts w:ascii="Garamond" w:hAnsi="Garamond"/>
          <w:sz w:val="24"/>
          <w:szCs w:val="24"/>
        </w:rPr>
        <w:t>(</w:t>
      </w:r>
      <w:proofErr w:type="spellStart"/>
      <w:r w:rsidR="00AC0402" w:rsidRPr="00A3025D">
        <w:rPr>
          <w:rFonts w:ascii="Garamond" w:hAnsi="Garamond"/>
          <w:sz w:val="24"/>
          <w:szCs w:val="24"/>
        </w:rPr>
        <w:t>CACAyT</w:t>
      </w:r>
      <w:proofErr w:type="spellEnd"/>
      <w:r w:rsidR="00AC0402" w:rsidRPr="00A3025D">
        <w:rPr>
          <w:rFonts w:ascii="Garamond" w:hAnsi="Garamond"/>
          <w:sz w:val="24"/>
          <w:szCs w:val="24"/>
        </w:rPr>
        <w:t xml:space="preserve">, Sala I, </w:t>
      </w:r>
      <w:proofErr w:type="spellStart"/>
      <w:r w:rsidR="00AC0402" w:rsidRPr="00A3025D">
        <w:rPr>
          <w:rFonts w:ascii="Garamond" w:hAnsi="Garamond"/>
          <w:sz w:val="24"/>
          <w:szCs w:val="24"/>
        </w:rPr>
        <w:t>exp</w:t>
      </w:r>
      <w:proofErr w:type="spellEnd"/>
      <w:r w:rsidR="00AC0402" w:rsidRPr="00A3025D">
        <w:rPr>
          <w:rFonts w:ascii="Garamond" w:hAnsi="Garamond"/>
          <w:sz w:val="24"/>
          <w:szCs w:val="24"/>
        </w:rPr>
        <w:t xml:space="preserve">. n° </w:t>
      </w:r>
      <w:r w:rsidR="00CC123A" w:rsidRPr="00A3025D">
        <w:rPr>
          <w:rFonts w:ascii="Garamond" w:hAnsi="Garamond"/>
          <w:sz w:val="24"/>
          <w:szCs w:val="24"/>
        </w:rPr>
        <w:t xml:space="preserve">35421/0 “GARCIA ELORRIO”, </w:t>
      </w:r>
      <w:proofErr w:type="spellStart"/>
      <w:r w:rsidR="00CC123A" w:rsidRPr="00A3025D">
        <w:rPr>
          <w:rFonts w:ascii="Garamond" w:hAnsi="Garamond"/>
          <w:sz w:val="24"/>
          <w:szCs w:val="24"/>
        </w:rPr>
        <w:t>sent</w:t>
      </w:r>
      <w:proofErr w:type="spellEnd"/>
      <w:r w:rsidR="00CC123A" w:rsidRPr="00A3025D">
        <w:rPr>
          <w:rFonts w:ascii="Garamond" w:hAnsi="Garamond"/>
          <w:sz w:val="24"/>
          <w:szCs w:val="24"/>
        </w:rPr>
        <w:t>. del 30 de junio de 2014).</w:t>
      </w:r>
    </w:p>
    <w:p w:rsidR="00AE07B9" w:rsidRPr="00A3025D" w:rsidRDefault="00AE07B9" w:rsidP="005E44C7">
      <w:pPr>
        <w:spacing w:line="360" w:lineRule="auto"/>
        <w:ind w:firstLine="360"/>
        <w:jc w:val="both"/>
        <w:rPr>
          <w:rFonts w:ascii="Garamond" w:hAnsi="Garamond"/>
          <w:sz w:val="24"/>
          <w:szCs w:val="24"/>
        </w:rPr>
      </w:pPr>
      <w:r w:rsidRPr="00A3025D">
        <w:rPr>
          <w:rFonts w:ascii="Garamond" w:hAnsi="Garamond"/>
          <w:sz w:val="24"/>
          <w:szCs w:val="24"/>
        </w:rPr>
        <w:t>Asimismo, la Justicia posee un rol relevante a este respecto dado que</w:t>
      </w:r>
      <w:r w:rsidRPr="00A3025D">
        <w:rPr>
          <w:rFonts w:ascii="Garamond" w:hAnsi="Garamond" w:cs="Times New Roman"/>
          <w:sz w:val="24"/>
          <w:szCs w:val="24"/>
        </w:rPr>
        <w:t xml:space="preserve"> “una de las formas de participación ciudadana en el control de la actividad estatal que previeron los constituyentes descansa en un amplio acceso a la justicia” (</w:t>
      </w:r>
      <w:r w:rsidR="00002FBF" w:rsidRPr="00A3025D">
        <w:rPr>
          <w:rFonts w:ascii="Garamond" w:hAnsi="Garamond" w:cs="Times New Roman"/>
          <w:sz w:val="24"/>
          <w:szCs w:val="24"/>
        </w:rPr>
        <w:t>CACAYT, Sala I</w:t>
      </w:r>
      <w:r w:rsidRPr="00A3025D">
        <w:rPr>
          <w:rFonts w:ascii="Garamond" w:hAnsi="Garamond" w:cs="Times New Roman"/>
          <w:sz w:val="24"/>
          <w:szCs w:val="24"/>
        </w:rPr>
        <w:t>, “</w:t>
      </w:r>
      <w:proofErr w:type="spellStart"/>
      <w:r w:rsidRPr="00A3025D">
        <w:rPr>
          <w:rFonts w:ascii="Garamond" w:hAnsi="Garamond" w:cs="Times New Roman"/>
          <w:sz w:val="24"/>
          <w:szCs w:val="24"/>
        </w:rPr>
        <w:t>Barila</w:t>
      </w:r>
      <w:proofErr w:type="spellEnd"/>
      <w:r w:rsidRPr="00A3025D">
        <w:rPr>
          <w:rFonts w:ascii="Garamond" w:hAnsi="Garamond" w:cs="Times New Roman"/>
          <w:sz w:val="24"/>
          <w:szCs w:val="24"/>
        </w:rPr>
        <w:t xml:space="preserve">”, </w:t>
      </w:r>
      <w:proofErr w:type="spellStart"/>
      <w:r w:rsidRPr="00A3025D">
        <w:rPr>
          <w:rFonts w:ascii="Garamond" w:hAnsi="Garamond" w:cs="Times New Roman"/>
          <w:sz w:val="24"/>
          <w:szCs w:val="24"/>
        </w:rPr>
        <w:t>sent</w:t>
      </w:r>
      <w:proofErr w:type="spellEnd"/>
      <w:r w:rsidRPr="00A3025D">
        <w:rPr>
          <w:rFonts w:ascii="Garamond" w:hAnsi="Garamond" w:cs="Times New Roman"/>
          <w:sz w:val="24"/>
          <w:szCs w:val="24"/>
        </w:rPr>
        <w:t>. del 05/02/2007).</w:t>
      </w:r>
    </w:p>
    <w:p w:rsidR="00A00423" w:rsidRDefault="006A5B0C" w:rsidP="00A00423">
      <w:pPr>
        <w:spacing w:line="360" w:lineRule="auto"/>
        <w:ind w:firstLine="360"/>
        <w:jc w:val="both"/>
        <w:rPr>
          <w:rFonts w:ascii="Garamond" w:hAnsi="Garamond"/>
          <w:sz w:val="24"/>
          <w:szCs w:val="24"/>
        </w:rPr>
      </w:pPr>
      <w:r w:rsidRPr="00A3025D">
        <w:rPr>
          <w:rFonts w:ascii="Garamond" w:hAnsi="Garamond"/>
          <w:sz w:val="24"/>
          <w:szCs w:val="24"/>
        </w:rPr>
        <w:t>En este marco, la omisión del Poder Ejecutivo en cumplir con la remisión oportuna</w:t>
      </w:r>
      <w:r w:rsidR="00274D11" w:rsidRPr="00A3025D">
        <w:rPr>
          <w:rFonts w:ascii="Garamond" w:hAnsi="Garamond"/>
          <w:sz w:val="24"/>
          <w:szCs w:val="24"/>
        </w:rPr>
        <w:t xml:space="preserve"> del proyecto de ley de presupuesto </w:t>
      </w:r>
      <w:r w:rsidR="00E7397E">
        <w:rPr>
          <w:rFonts w:ascii="Garamond" w:hAnsi="Garamond"/>
          <w:sz w:val="24"/>
          <w:szCs w:val="24"/>
        </w:rPr>
        <w:t xml:space="preserve">impide a la ciudadanía toda posibilidad de </w:t>
      </w:r>
      <w:r w:rsidR="00274D11" w:rsidRPr="00E7397E">
        <w:rPr>
          <w:rFonts w:ascii="Garamond" w:hAnsi="Garamond"/>
          <w:sz w:val="24"/>
          <w:szCs w:val="24"/>
        </w:rPr>
        <w:t>involucra</w:t>
      </w:r>
      <w:r w:rsidR="00E7397E">
        <w:rPr>
          <w:rFonts w:ascii="Garamond" w:hAnsi="Garamond"/>
          <w:sz w:val="24"/>
          <w:szCs w:val="24"/>
        </w:rPr>
        <w:t>rse</w:t>
      </w:r>
      <w:r w:rsidR="00274D11" w:rsidRPr="00E7397E">
        <w:rPr>
          <w:rFonts w:ascii="Garamond" w:hAnsi="Garamond"/>
          <w:sz w:val="24"/>
          <w:szCs w:val="24"/>
        </w:rPr>
        <w:t xml:space="preserve"> </w:t>
      </w:r>
      <w:r w:rsidR="00E7397E">
        <w:rPr>
          <w:rFonts w:ascii="Garamond" w:hAnsi="Garamond"/>
          <w:sz w:val="24"/>
          <w:szCs w:val="24"/>
        </w:rPr>
        <w:t xml:space="preserve"> actualmente </w:t>
      </w:r>
      <w:r w:rsidR="00BA37CA" w:rsidRPr="00E7397E">
        <w:rPr>
          <w:rFonts w:ascii="Garamond" w:hAnsi="Garamond"/>
          <w:sz w:val="24"/>
          <w:szCs w:val="24"/>
        </w:rPr>
        <w:t>en</w:t>
      </w:r>
      <w:r w:rsidR="00E7397E">
        <w:rPr>
          <w:rFonts w:ascii="Garamond" w:hAnsi="Garamond"/>
          <w:sz w:val="24"/>
          <w:szCs w:val="24"/>
        </w:rPr>
        <w:t xml:space="preserve"> la discusión sobre el presupuesto 2016,</w:t>
      </w:r>
      <w:r w:rsidR="00BA37CA" w:rsidRPr="00E7397E">
        <w:rPr>
          <w:rFonts w:ascii="Garamond" w:hAnsi="Garamond"/>
          <w:sz w:val="24"/>
          <w:szCs w:val="24"/>
        </w:rPr>
        <w:t xml:space="preserve"> una materia que la Constitución</w:t>
      </w:r>
      <w:r w:rsidR="00E7397E">
        <w:rPr>
          <w:rFonts w:ascii="Garamond" w:hAnsi="Garamond"/>
          <w:sz w:val="24"/>
          <w:szCs w:val="24"/>
        </w:rPr>
        <w:t xml:space="preserve"> vincula especialmente</w:t>
      </w:r>
      <w:r w:rsidR="00BA37CA" w:rsidRPr="00E7397E">
        <w:rPr>
          <w:rFonts w:ascii="Garamond" w:hAnsi="Garamond"/>
          <w:sz w:val="24"/>
          <w:szCs w:val="24"/>
        </w:rPr>
        <w:t xml:space="preserve"> con la participación. </w:t>
      </w:r>
      <w:r w:rsidR="00A00423">
        <w:rPr>
          <w:rFonts w:ascii="Garamond" w:hAnsi="Garamond"/>
          <w:sz w:val="24"/>
          <w:szCs w:val="24"/>
        </w:rPr>
        <w:t xml:space="preserve">La Ley de Presupuesto contiene mucha documentación, planillas e información, cuyo análisis cuidadoso requiere necesariamente de un tiempo suficiente. </w:t>
      </w:r>
    </w:p>
    <w:p w:rsidR="006A5B0C" w:rsidRDefault="00A00423" w:rsidP="005E44C7">
      <w:pPr>
        <w:spacing w:line="360" w:lineRule="auto"/>
        <w:ind w:firstLine="360"/>
        <w:jc w:val="both"/>
        <w:rPr>
          <w:rFonts w:ascii="Garamond" w:hAnsi="Garamond"/>
          <w:sz w:val="24"/>
          <w:szCs w:val="24"/>
        </w:rPr>
      </w:pPr>
      <w:r>
        <w:rPr>
          <w:rFonts w:ascii="Garamond" w:hAnsi="Garamond"/>
          <w:sz w:val="24"/>
          <w:szCs w:val="24"/>
        </w:rPr>
        <w:lastRenderedPageBreak/>
        <w:t>L</w:t>
      </w:r>
      <w:r w:rsidR="006C1BEF" w:rsidRPr="00E7397E">
        <w:rPr>
          <w:rFonts w:ascii="Garamond" w:hAnsi="Garamond"/>
          <w:sz w:val="24"/>
          <w:szCs w:val="24"/>
        </w:rPr>
        <w:t xml:space="preserve">a demora en </w:t>
      </w:r>
      <w:r>
        <w:rPr>
          <w:rFonts w:ascii="Garamond" w:hAnsi="Garamond"/>
          <w:sz w:val="24"/>
          <w:szCs w:val="24"/>
        </w:rPr>
        <w:t>su</w:t>
      </w:r>
      <w:r w:rsidR="006C1BEF" w:rsidRPr="00E7397E">
        <w:rPr>
          <w:rFonts w:ascii="Garamond" w:hAnsi="Garamond"/>
          <w:sz w:val="24"/>
          <w:szCs w:val="24"/>
        </w:rPr>
        <w:t xml:space="preserve"> remisión </w:t>
      </w:r>
      <w:r>
        <w:rPr>
          <w:rFonts w:ascii="Garamond" w:hAnsi="Garamond"/>
          <w:sz w:val="24"/>
          <w:szCs w:val="24"/>
        </w:rPr>
        <w:t xml:space="preserve">a la Legislatura, que conlleva la imposibilidad de que la ciudadanía los conozca </w:t>
      </w:r>
      <w:r w:rsidR="00E7397E">
        <w:rPr>
          <w:rFonts w:ascii="Garamond" w:hAnsi="Garamond"/>
          <w:sz w:val="24"/>
          <w:szCs w:val="24"/>
        </w:rPr>
        <w:t>impide actualmente</w:t>
      </w:r>
      <w:r w:rsidR="006C1BEF" w:rsidRPr="00E7397E">
        <w:rPr>
          <w:rFonts w:ascii="Garamond" w:hAnsi="Garamond"/>
          <w:sz w:val="24"/>
          <w:szCs w:val="24"/>
        </w:rPr>
        <w:t xml:space="preserve"> analizar y conocer</w:t>
      </w:r>
      <w:r>
        <w:rPr>
          <w:rFonts w:ascii="Garamond" w:hAnsi="Garamond"/>
          <w:sz w:val="24"/>
          <w:szCs w:val="24"/>
        </w:rPr>
        <w:t xml:space="preserve"> esos</w:t>
      </w:r>
      <w:r w:rsidR="006C1BEF" w:rsidRPr="00E7397E">
        <w:rPr>
          <w:rFonts w:ascii="Garamond" w:hAnsi="Garamond"/>
          <w:sz w:val="24"/>
          <w:szCs w:val="24"/>
        </w:rPr>
        <w:t xml:space="preserve"> documentos complejos, </w:t>
      </w:r>
      <w:r w:rsidR="00E7397E">
        <w:rPr>
          <w:rFonts w:ascii="Garamond" w:hAnsi="Garamond"/>
          <w:sz w:val="24"/>
          <w:szCs w:val="24"/>
        </w:rPr>
        <w:t xml:space="preserve">afectando de esa manera su posibilidad de </w:t>
      </w:r>
      <w:r w:rsidR="006C1BEF" w:rsidRPr="00E7397E">
        <w:rPr>
          <w:rFonts w:ascii="Garamond" w:hAnsi="Garamond"/>
          <w:sz w:val="24"/>
          <w:szCs w:val="24"/>
        </w:rPr>
        <w:t>incidir en consecuencia en la</w:t>
      </w:r>
      <w:r w:rsidR="00E7397E">
        <w:rPr>
          <w:rFonts w:ascii="Garamond" w:hAnsi="Garamond"/>
          <w:sz w:val="24"/>
          <w:szCs w:val="24"/>
        </w:rPr>
        <w:t>s decisiones sobre</w:t>
      </w:r>
      <w:r w:rsidR="006C1BEF" w:rsidRPr="00E7397E">
        <w:rPr>
          <w:rFonts w:ascii="Garamond" w:hAnsi="Garamond"/>
          <w:sz w:val="24"/>
          <w:szCs w:val="24"/>
        </w:rPr>
        <w:t xml:space="preserve"> asignación de recursos.</w:t>
      </w:r>
    </w:p>
    <w:p w:rsidR="00A00423" w:rsidRPr="00E7397E" w:rsidRDefault="00A00423" w:rsidP="007975B5">
      <w:pPr>
        <w:spacing w:line="360" w:lineRule="auto"/>
        <w:ind w:firstLine="360"/>
        <w:jc w:val="both"/>
        <w:rPr>
          <w:rFonts w:ascii="Garamond" w:hAnsi="Garamond"/>
          <w:sz w:val="24"/>
          <w:szCs w:val="24"/>
        </w:rPr>
      </w:pPr>
      <w:r>
        <w:rPr>
          <w:rFonts w:ascii="Garamond" w:hAnsi="Garamond"/>
          <w:sz w:val="24"/>
          <w:szCs w:val="24"/>
        </w:rPr>
        <w:t xml:space="preserve">A su vez, debido a que se impide a la Legislatura conocer y discutir cuáles son las previsiones presupuestarias para el año siguiente, se frustra por completo la posibilidad de iniciar los trascendentales debates que deben necesariamente darse en ese ámbito, como mínimo, a partir del 30 de Septiembre, privándose a la ciudadanía de toda posibilidad de participar de ellos. </w:t>
      </w:r>
    </w:p>
    <w:p w:rsidR="00735882" w:rsidRPr="00963120" w:rsidRDefault="00FC4C02" w:rsidP="00CD31A9">
      <w:pPr>
        <w:pStyle w:val="Prrafodelista"/>
        <w:numPr>
          <w:ilvl w:val="0"/>
          <w:numId w:val="8"/>
        </w:numPr>
        <w:spacing w:line="360" w:lineRule="auto"/>
        <w:jc w:val="both"/>
        <w:rPr>
          <w:rFonts w:ascii="Garamond" w:hAnsi="Garamond"/>
          <w:b/>
          <w:sz w:val="24"/>
          <w:szCs w:val="24"/>
        </w:rPr>
      </w:pPr>
      <w:r w:rsidRPr="00963120">
        <w:rPr>
          <w:rFonts w:ascii="Garamond" w:hAnsi="Garamond"/>
          <w:b/>
          <w:sz w:val="24"/>
          <w:szCs w:val="24"/>
        </w:rPr>
        <w:t>Vulneración del d</w:t>
      </w:r>
      <w:r w:rsidR="00735882" w:rsidRPr="00963120">
        <w:rPr>
          <w:rFonts w:ascii="Garamond" w:hAnsi="Garamond"/>
          <w:b/>
          <w:sz w:val="24"/>
          <w:szCs w:val="24"/>
        </w:rPr>
        <w:t>ebido proceso presupuestario</w:t>
      </w:r>
    </w:p>
    <w:p w:rsidR="00A00423" w:rsidRDefault="0059339D" w:rsidP="0059339D">
      <w:pPr>
        <w:spacing w:line="360" w:lineRule="auto"/>
        <w:ind w:firstLine="360"/>
        <w:jc w:val="both"/>
        <w:rPr>
          <w:rFonts w:ascii="Garamond" w:hAnsi="Garamond"/>
          <w:sz w:val="24"/>
          <w:szCs w:val="24"/>
        </w:rPr>
      </w:pPr>
      <w:r w:rsidRPr="00A3025D">
        <w:rPr>
          <w:rFonts w:ascii="Garamond" w:hAnsi="Garamond"/>
          <w:sz w:val="24"/>
          <w:szCs w:val="24"/>
        </w:rPr>
        <w:t>Finalmente,</w:t>
      </w:r>
      <w:r w:rsidR="00B510C6" w:rsidRPr="00A3025D">
        <w:rPr>
          <w:rFonts w:ascii="Garamond" w:hAnsi="Garamond"/>
          <w:sz w:val="24"/>
          <w:szCs w:val="24"/>
        </w:rPr>
        <w:t xml:space="preserve"> la omisión del Poder Ejecutivo vulnera las garantías del debido proceso en materia presupuestaria, lo que </w:t>
      </w:r>
      <w:r w:rsidR="00A00423">
        <w:rPr>
          <w:rFonts w:ascii="Garamond" w:hAnsi="Garamond"/>
          <w:sz w:val="24"/>
          <w:szCs w:val="24"/>
        </w:rPr>
        <w:t>vulnera</w:t>
      </w:r>
      <w:r w:rsidR="00B510C6" w:rsidRPr="00A00423">
        <w:rPr>
          <w:rFonts w:ascii="Garamond" w:hAnsi="Garamond"/>
          <w:sz w:val="24"/>
          <w:szCs w:val="24"/>
        </w:rPr>
        <w:t xml:space="preserve"> los derechos de ACIJ y de l</w:t>
      </w:r>
      <w:r w:rsidR="00A00423">
        <w:rPr>
          <w:rFonts w:ascii="Garamond" w:hAnsi="Garamond"/>
          <w:sz w:val="24"/>
          <w:szCs w:val="24"/>
        </w:rPr>
        <w:t>os derechos de incidencia colectiva de l</w:t>
      </w:r>
      <w:r w:rsidR="00B510C6" w:rsidRPr="00A00423">
        <w:rPr>
          <w:rFonts w:ascii="Garamond" w:hAnsi="Garamond"/>
          <w:sz w:val="24"/>
          <w:szCs w:val="24"/>
        </w:rPr>
        <w:t>as personas por ella representada</w:t>
      </w:r>
      <w:r w:rsidR="00F41BE2" w:rsidRPr="00A00423">
        <w:rPr>
          <w:rFonts w:ascii="Garamond" w:hAnsi="Garamond"/>
          <w:sz w:val="24"/>
          <w:szCs w:val="24"/>
        </w:rPr>
        <w:t>s</w:t>
      </w:r>
      <w:r w:rsidR="00B510C6" w:rsidRPr="00A00423">
        <w:rPr>
          <w:rFonts w:ascii="Garamond" w:hAnsi="Garamond"/>
          <w:sz w:val="24"/>
          <w:szCs w:val="24"/>
        </w:rPr>
        <w:t xml:space="preserve">. </w:t>
      </w:r>
    </w:p>
    <w:p w:rsidR="00735882" w:rsidRDefault="00B510C6" w:rsidP="0059339D">
      <w:pPr>
        <w:spacing w:line="360" w:lineRule="auto"/>
        <w:ind w:firstLine="360"/>
        <w:jc w:val="both"/>
        <w:rPr>
          <w:rFonts w:ascii="Garamond" w:hAnsi="Garamond"/>
          <w:sz w:val="24"/>
          <w:szCs w:val="24"/>
        </w:rPr>
      </w:pPr>
      <w:r w:rsidRPr="00A00423">
        <w:rPr>
          <w:rFonts w:ascii="Garamond" w:hAnsi="Garamond"/>
          <w:sz w:val="24"/>
          <w:szCs w:val="24"/>
        </w:rPr>
        <w:t>Y es que la violación de las pautas procedimentales</w:t>
      </w:r>
      <w:r w:rsidR="00A00423">
        <w:rPr>
          <w:rFonts w:ascii="Garamond" w:hAnsi="Garamond"/>
          <w:sz w:val="24"/>
          <w:szCs w:val="24"/>
        </w:rPr>
        <w:t xml:space="preserve"> constitucionales y</w:t>
      </w:r>
      <w:r w:rsidRPr="00A00423">
        <w:rPr>
          <w:rFonts w:ascii="Garamond" w:hAnsi="Garamond"/>
          <w:sz w:val="24"/>
          <w:szCs w:val="24"/>
        </w:rPr>
        <w:t xml:space="preserve"> legales diseñadas para brindar garantías a los particulares genera en ellos un agravio por afectación de sus intereses.</w:t>
      </w:r>
    </w:p>
    <w:p w:rsidR="00963120" w:rsidRDefault="00A00423" w:rsidP="00963120">
      <w:pPr>
        <w:spacing w:line="360" w:lineRule="auto"/>
        <w:ind w:firstLine="360"/>
        <w:jc w:val="both"/>
        <w:rPr>
          <w:rFonts w:ascii="Garamond" w:hAnsi="Garamond"/>
          <w:sz w:val="24"/>
          <w:szCs w:val="24"/>
        </w:rPr>
      </w:pPr>
      <w:r>
        <w:rPr>
          <w:rFonts w:ascii="Garamond" w:hAnsi="Garamond"/>
          <w:sz w:val="24"/>
          <w:szCs w:val="24"/>
        </w:rPr>
        <w:t xml:space="preserve">El proceso presupuestario no es discrecional, sino que sus diferentes </w:t>
      </w:r>
      <w:r w:rsidR="00963120">
        <w:rPr>
          <w:rFonts w:ascii="Garamond" w:hAnsi="Garamond"/>
          <w:sz w:val="24"/>
          <w:szCs w:val="24"/>
        </w:rPr>
        <w:t>hitos</w:t>
      </w:r>
      <w:r>
        <w:rPr>
          <w:rFonts w:ascii="Garamond" w:hAnsi="Garamond"/>
          <w:sz w:val="24"/>
          <w:szCs w:val="24"/>
        </w:rPr>
        <w:t xml:space="preserve"> y plazos se encuentran regulados en la Constitución y las leyes. Tales reglas conforman un proceso particular, </w:t>
      </w:r>
      <w:r w:rsidR="00963120">
        <w:rPr>
          <w:rFonts w:ascii="Garamond" w:hAnsi="Garamond"/>
          <w:sz w:val="24"/>
          <w:szCs w:val="24"/>
        </w:rPr>
        <w:t xml:space="preserve">y su cumplimiento es indispensables para garantizar </w:t>
      </w:r>
      <w:r>
        <w:rPr>
          <w:rFonts w:ascii="Garamond" w:hAnsi="Garamond"/>
          <w:sz w:val="24"/>
          <w:szCs w:val="24"/>
        </w:rPr>
        <w:t xml:space="preserve">el principio de división de poderes, los derechos de participación y de acceso a la información, </w:t>
      </w:r>
      <w:r w:rsidR="00963120">
        <w:rPr>
          <w:rFonts w:ascii="Garamond" w:hAnsi="Garamond"/>
          <w:sz w:val="24"/>
          <w:szCs w:val="24"/>
        </w:rPr>
        <w:t xml:space="preserve">la democracia participativa, </w:t>
      </w:r>
      <w:r>
        <w:rPr>
          <w:rFonts w:ascii="Garamond" w:hAnsi="Garamond"/>
          <w:sz w:val="24"/>
          <w:szCs w:val="24"/>
        </w:rPr>
        <w:t xml:space="preserve">y </w:t>
      </w:r>
      <w:r w:rsidR="00963120">
        <w:rPr>
          <w:rFonts w:ascii="Garamond" w:hAnsi="Garamond"/>
          <w:sz w:val="24"/>
          <w:szCs w:val="24"/>
        </w:rPr>
        <w:t xml:space="preserve">el derecho de peticionar a las autoridades. </w:t>
      </w:r>
    </w:p>
    <w:p w:rsidR="00A00423" w:rsidRPr="00A00423" w:rsidRDefault="00963120" w:rsidP="00963120">
      <w:pPr>
        <w:spacing w:line="360" w:lineRule="auto"/>
        <w:ind w:firstLine="360"/>
        <w:jc w:val="both"/>
        <w:rPr>
          <w:rFonts w:ascii="Garamond" w:hAnsi="Garamond"/>
          <w:sz w:val="24"/>
          <w:szCs w:val="24"/>
        </w:rPr>
      </w:pPr>
      <w:r>
        <w:rPr>
          <w:rFonts w:ascii="Garamond" w:hAnsi="Garamond"/>
          <w:sz w:val="24"/>
          <w:szCs w:val="24"/>
        </w:rPr>
        <w:t xml:space="preserve">La violación de las reglas establecidas constitucionalmente para la sanción de la Ley de Presupuesto afecta seriamente todos estos principios y derechos, minando también la calidad de la decisión, toda vez que una vez sancionada, la Ley habrá sido sancionada de acuerdo un proceso diferente al que la Constitución ordena para ello.  Este incumplimiento de las pautas constitucionalmente previstas vulnera garantías esenciales de la ciudadanía, que tiene derecho a que la Ley de Presupuesto sea sancionada con apego a las reglas básicas establecidas en la Constitución y las leyes. </w:t>
      </w:r>
    </w:p>
    <w:p w:rsidR="00963120" w:rsidRDefault="00B510C6" w:rsidP="00C77BAE">
      <w:pPr>
        <w:spacing w:line="360" w:lineRule="auto"/>
        <w:ind w:firstLine="360"/>
        <w:jc w:val="both"/>
        <w:rPr>
          <w:rFonts w:ascii="Garamond" w:hAnsi="Garamond"/>
          <w:sz w:val="24"/>
          <w:szCs w:val="24"/>
          <w:lang w:val="es-ES"/>
        </w:rPr>
      </w:pPr>
      <w:r w:rsidRPr="00963120">
        <w:rPr>
          <w:rFonts w:ascii="Garamond" w:hAnsi="Garamond"/>
          <w:sz w:val="24"/>
          <w:szCs w:val="24"/>
        </w:rPr>
        <w:t xml:space="preserve">En este sentido, los tribunales </w:t>
      </w:r>
      <w:r w:rsidR="00C77BAE" w:rsidRPr="00963120">
        <w:rPr>
          <w:rFonts w:ascii="Garamond" w:hAnsi="Garamond"/>
          <w:sz w:val="24"/>
          <w:szCs w:val="24"/>
        </w:rPr>
        <w:t xml:space="preserve">han interpretado que ciertos mandatos de funcionamiento de los organismos públicos (en el caso, de designación de funcionarios y de la garantía de la </w:t>
      </w:r>
      <w:r w:rsidR="00C77BAE" w:rsidRPr="00963120">
        <w:rPr>
          <w:rFonts w:ascii="Garamond" w:hAnsi="Garamond"/>
          <w:sz w:val="24"/>
          <w:szCs w:val="24"/>
        </w:rPr>
        <w:lastRenderedPageBreak/>
        <w:t>independencia) integran el debido proceso y</w:t>
      </w:r>
      <w:r w:rsidR="00F41BE2" w:rsidRPr="00963120">
        <w:rPr>
          <w:rFonts w:ascii="Garamond" w:hAnsi="Garamond"/>
          <w:sz w:val="24"/>
          <w:szCs w:val="24"/>
        </w:rPr>
        <w:t>,</w:t>
      </w:r>
      <w:r w:rsidR="00C77BAE" w:rsidRPr="00963120">
        <w:rPr>
          <w:rFonts w:ascii="Garamond" w:hAnsi="Garamond"/>
          <w:sz w:val="24"/>
          <w:szCs w:val="24"/>
        </w:rPr>
        <w:t xml:space="preserve"> por ende</w:t>
      </w:r>
      <w:r w:rsidR="00F41BE2" w:rsidRPr="00963120">
        <w:rPr>
          <w:rFonts w:ascii="Garamond" w:hAnsi="Garamond"/>
          <w:sz w:val="24"/>
          <w:szCs w:val="24"/>
        </w:rPr>
        <w:t>,</w:t>
      </w:r>
      <w:r w:rsidR="00C77BAE" w:rsidRPr="00963120">
        <w:rPr>
          <w:rFonts w:ascii="Garamond" w:hAnsi="Garamond"/>
          <w:sz w:val="24"/>
          <w:szCs w:val="24"/>
        </w:rPr>
        <w:t xml:space="preserve"> </w:t>
      </w:r>
      <w:r w:rsidR="00C77BAE" w:rsidRPr="00A07920">
        <w:rPr>
          <w:rFonts w:ascii="Garamond" w:hAnsi="Garamond"/>
          <w:b/>
          <w:sz w:val="24"/>
          <w:szCs w:val="24"/>
        </w:rPr>
        <w:t>l</w:t>
      </w:r>
      <w:r w:rsidR="00F41BE2" w:rsidRPr="00A07920">
        <w:rPr>
          <w:rFonts w:ascii="Garamond" w:hAnsi="Garamond"/>
          <w:b/>
          <w:sz w:val="24"/>
          <w:szCs w:val="24"/>
          <w:lang w:val="es-ES"/>
        </w:rPr>
        <w:t xml:space="preserve">os </w:t>
      </w:r>
      <w:r w:rsidR="00C77BAE" w:rsidRPr="00A07920">
        <w:rPr>
          <w:rFonts w:ascii="Garamond" w:hAnsi="Garamond"/>
          <w:b/>
          <w:sz w:val="24"/>
          <w:szCs w:val="24"/>
          <w:lang w:val="es-ES"/>
        </w:rPr>
        <w:t>particulares y las asociaciones conformadas por ellos, cuyos</w:t>
      </w:r>
      <w:r w:rsidR="00C77BAE" w:rsidRPr="00A07920">
        <w:rPr>
          <w:rFonts w:ascii="Garamond" w:hAnsi="Garamond"/>
          <w:b/>
          <w:sz w:val="24"/>
          <w:szCs w:val="24"/>
        </w:rPr>
        <w:t xml:space="preserve"> </w:t>
      </w:r>
      <w:r w:rsidR="00C77BAE" w:rsidRPr="00A07920">
        <w:rPr>
          <w:rFonts w:ascii="Garamond" w:hAnsi="Garamond"/>
          <w:b/>
          <w:sz w:val="24"/>
          <w:szCs w:val="24"/>
          <w:lang w:val="es-ES"/>
        </w:rPr>
        <w:t>derechos  han  de  ser directamente reglamentados, determinados o</w:t>
      </w:r>
      <w:r w:rsidR="00C77BAE" w:rsidRPr="00A07920">
        <w:rPr>
          <w:rFonts w:ascii="Garamond" w:hAnsi="Garamond"/>
          <w:b/>
          <w:sz w:val="24"/>
          <w:szCs w:val="24"/>
        </w:rPr>
        <w:t xml:space="preserve"> </w:t>
      </w:r>
      <w:r w:rsidR="00C77BAE" w:rsidRPr="00A07920">
        <w:rPr>
          <w:rFonts w:ascii="Garamond" w:hAnsi="Garamond"/>
          <w:b/>
          <w:sz w:val="24"/>
          <w:szCs w:val="24"/>
          <w:lang w:val="es-ES"/>
        </w:rPr>
        <w:t>dirimido  por  esos organismos, están legitimados</w:t>
      </w:r>
      <w:r w:rsidR="00C77BAE" w:rsidRPr="00A07920">
        <w:rPr>
          <w:rFonts w:ascii="Garamond" w:hAnsi="Garamond"/>
          <w:b/>
          <w:sz w:val="24"/>
          <w:szCs w:val="24"/>
        </w:rPr>
        <w:t xml:space="preserve"> </w:t>
      </w:r>
      <w:r w:rsidR="00C77BAE" w:rsidRPr="00A07920">
        <w:rPr>
          <w:rFonts w:ascii="Garamond" w:hAnsi="Garamond"/>
          <w:b/>
          <w:sz w:val="24"/>
          <w:szCs w:val="24"/>
          <w:lang w:val="es-ES"/>
        </w:rPr>
        <w:t>para  cuestionar  el incumplimiento de esas pautas de funcionamiento</w:t>
      </w:r>
      <w:r w:rsidR="00C77BAE" w:rsidRPr="00963120">
        <w:rPr>
          <w:rFonts w:ascii="Garamond" w:hAnsi="Garamond"/>
          <w:sz w:val="24"/>
          <w:szCs w:val="24"/>
          <w:lang w:val="es-ES"/>
        </w:rPr>
        <w:t xml:space="preserve"> (</w:t>
      </w:r>
      <w:proofErr w:type="spellStart"/>
      <w:r w:rsidR="00C77BAE" w:rsidRPr="00963120">
        <w:rPr>
          <w:rFonts w:ascii="Garamond" w:hAnsi="Garamond"/>
          <w:sz w:val="24"/>
          <w:szCs w:val="24"/>
          <w:lang w:val="es-ES"/>
        </w:rPr>
        <w:t>arg</w:t>
      </w:r>
      <w:proofErr w:type="spellEnd"/>
      <w:r w:rsidR="00C77BAE" w:rsidRPr="00963120">
        <w:rPr>
          <w:rFonts w:ascii="Garamond" w:hAnsi="Garamond"/>
          <w:sz w:val="24"/>
          <w:szCs w:val="24"/>
          <w:lang w:val="es-ES"/>
        </w:rPr>
        <w:t xml:space="preserve">. CNCAF, </w:t>
      </w:r>
      <w:proofErr w:type="spellStart"/>
      <w:r w:rsidR="00C77BAE" w:rsidRPr="00963120">
        <w:rPr>
          <w:rFonts w:ascii="Garamond" w:hAnsi="Garamond"/>
          <w:sz w:val="24"/>
          <w:szCs w:val="24"/>
          <w:lang w:val="es-ES"/>
        </w:rPr>
        <w:t>exp</w:t>
      </w:r>
      <w:proofErr w:type="spellEnd"/>
      <w:r w:rsidR="00C77BAE" w:rsidRPr="00963120">
        <w:rPr>
          <w:rFonts w:ascii="Garamond" w:hAnsi="Garamond"/>
          <w:sz w:val="24"/>
          <w:szCs w:val="24"/>
          <w:lang w:val="es-ES"/>
        </w:rPr>
        <w:t xml:space="preserve">. 28.406/06, "ACIJ”, </w:t>
      </w:r>
      <w:proofErr w:type="spellStart"/>
      <w:r w:rsidR="00C77BAE" w:rsidRPr="00963120">
        <w:rPr>
          <w:rFonts w:ascii="Garamond" w:hAnsi="Garamond"/>
          <w:sz w:val="24"/>
          <w:szCs w:val="24"/>
          <w:lang w:val="es-ES"/>
        </w:rPr>
        <w:t>sent</w:t>
      </w:r>
      <w:proofErr w:type="spellEnd"/>
      <w:r w:rsidR="00C77BAE" w:rsidRPr="00963120">
        <w:rPr>
          <w:rFonts w:ascii="Garamond" w:hAnsi="Garamond"/>
          <w:sz w:val="24"/>
          <w:szCs w:val="24"/>
          <w:lang w:val="es-ES"/>
        </w:rPr>
        <w:t xml:space="preserve">. </w:t>
      </w:r>
      <w:proofErr w:type="gramStart"/>
      <w:r w:rsidR="00C77BAE" w:rsidRPr="00963120">
        <w:rPr>
          <w:rFonts w:ascii="Garamond" w:hAnsi="Garamond"/>
          <w:sz w:val="24"/>
          <w:szCs w:val="24"/>
          <w:lang w:val="es-ES"/>
        </w:rPr>
        <w:t>del</w:t>
      </w:r>
      <w:proofErr w:type="gramEnd"/>
      <w:r w:rsidR="00C77BAE" w:rsidRPr="00963120">
        <w:rPr>
          <w:rFonts w:ascii="Garamond" w:hAnsi="Garamond"/>
          <w:sz w:val="24"/>
          <w:szCs w:val="24"/>
          <w:lang w:val="es-ES"/>
        </w:rPr>
        <w:t xml:space="preserve"> 10/09/09). </w:t>
      </w:r>
    </w:p>
    <w:p w:rsidR="00963120" w:rsidRDefault="00C77BAE" w:rsidP="00A07920">
      <w:pPr>
        <w:spacing w:line="360" w:lineRule="auto"/>
        <w:ind w:firstLine="360"/>
        <w:jc w:val="both"/>
        <w:rPr>
          <w:rFonts w:ascii="Garamond" w:hAnsi="Garamond"/>
          <w:sz w:val="24"/>
          <w:szCs w:val="24"/>
          <w:lang w:val="es-ES"/>
        </w:rPr>
      </w:pPr>
      <w:r w:rsidRPr="00963120">
        <w:rPr>
          <w:rFonts w:ascii="Garamond" w:hAnsi="Garamond"/>
          <w:sz w:val="24"/>
          <w:szCs w:val="24"/>
          <w:lang w:val="es-ES"/>
        </w:rPr>
        <w:t>La razón en que se apoya esta conclusión es que “[s]</w:t>
      </w:r>
      <w:r w:rsidR="00B510C6" w:rsidRPr="00963120">
        <w:rPr>
          <w:rFonts w:ascii="Garamond" w:hAnsi="Garamond"/>
          <w:sz w:val="24"/>
          <w:szCs w:val="24"/>
          <w:lang w:val="es-ES"/>
        </w:rPr>
        <w:t>i la legitimación pudiera</w:t>
      </w:r>
      <w:r w:rsidRPr="00963120">
        <w:rPr>
          <w:rFonts w:ascii="Garamond" w:hAnsi="Garamond"/>
          <w:sz w:val="24"/>
          <w:szCs w:val="24"/>
          <w:lang w:val="es-ES"/>
        </w:rPr>
        <w:t xml:space="preserve"> </w:t>
      </w:r>
      <w:r w:rsidR="00F41BE2" w:rsidRPr="00963120">
        <w:rPr>
          <w:rFonts w:ascii="Garamond" w:hAnsi="Garamond"/>
          <w:sz w:val="24"/>
          <w:szCs w:val="24"/>
          <w:lang w:val="es-ES"/>
        </w:rPr>
        <w:t xml:space="preserve">ser negada por la </w:t>
      </w:r>
      <w:r w:rsidR="00B510C6" w:rsidRPr="00A3025D">
        <w:rPr>
          <w:rFonts w:ascii="Garamond" w:hAnsi="Garamond"/>
          <w:sz w:val="24"/>
          <w:szCs w:val="24"/>
          <w:lang w:val="es-ES"/>
        </w:rPr>
        <w:t>mera  circunstancia  de  que  el  agravio</w:t>
      </w:r>
      <w:r w:rsidRPr="00A3025D">
        <w:rPr>
          <w:rFonts w:ascii="Garamond" w:hAnsi="Garamond"/>
          <w:sz w:val="24"/>
          <w:szCs w:val="24"/>
          <w:lang w:val="es-ES"/>
        </w:rPr>
        <w:t xml:space="preserve"> </w:t>
      </w:r>
      <w:r w:rsidR="00B510C6" w:rsidRPr="00A3025D">
        <w:rPr>
          <w:rFonts w:ascii="Garamond" w:hAnsi="Garamond"/>
          <w:sz w:val="24"/>
          <w:szCs w:val="24"/>
          <w:lang w:val="es-ES"/>
        </w:rPr>
        <w:t>ocasionado  por  la conducta estatal es de carácter generalizado,</w:t>
      </w:r>
      <w:r w:rsidRPr="00A3025D">
        <w:rPr>
          <w:rFonts w:ascii="Garamond" w:hAnsi="Garamond"/>
          <w:sz w:val="24"/>
          <w:szCs w:val="24"/>
          <w:lang w:val="es-ES"/>
        </w:rPr>
        <w:t xml:space="preserve"> </w:t>
      </w:r>
      <w:r w:rsidR="00B510C6" w:rsidRPr="00A3025D">
        <w:rPr>
          <w:rFonts w:ascii="Garamond" w:hAnsi="Garamond"/>
          <w:sz w:val="24"/>
          <w:szCs w:val="24"/>
          <w:lang w:val="es-ES"/>
        </w:rPr>
        <w:t>nadie   estaría  en  condiciones  de  exigir  que  la  ley  fuera</w:t>
      </w:r>
      <w:r w:rsidRPr="00A3025D">
        <w:rPr>
          <w:rFonts w:ascii="Garamond" w:hAnsi="Garamond"/>
          <w:sz w:val="24"/>
          <w:szCs w:val="24"/>
          <w:lang w:val="es-ES"/>
        </w:rPr>
        <w:t xml:space="preserve"> </w:t>
      </w:r>
      <w:r w:rsidR="00B510C6" w:rsidRPr="00A3025D">
        <w:rPr>
          <w:rFonts w:ascii="Garamond" w:hAnsi="Garamond"/>
          <w:sz w:val="24"/>
          <w:szCs w:val="24"/>
          <w:lang w:val="es-ES"/>
        </w:rPr>
        <w:t>cumplida,  a</w:t>
      </w:r>
      <w:r w:rsidRPr="00A3025D">
        <w:rPr>
          <w:rFonts w:ascii="Garamond" w:hAnsi="Garamond"/>
          <w:sz w:val="24"/>
          <w:szCs w:val="24"/>
          <w:lang w:val="es-ES"/>
        </w:rPr>
        <w:t>u</w:t>
      </w:r>
      <w:r w:rsidR="00B510C6" w:rsidRPr="00A3025D">
        <w:rPr>
          <w:rFonts w:ascii="Garamond" w:hAnsi="Garamond"/>
          <w:sz w:val="24"/>
          <w:szCs w:val="24"/>
          <w:lang w:val="es-ES"/>
        </w:rPr>
        <w:t>n  cuando  claramente  el  ejercicio  efectivo de sus</w:t>
      </w:r>
      <w:r w:rsidRPr="00A3025D">
        <w:rPr>
          <w:rFonts w:ascii="Garamond" w:hAnsi="Garamond"/>
          <w:sz w:val="24"/>
          <w:szCs w:val="24"/>
          <w:lang w:val="es-ES"/>
        </w:rPr>
        <w:t xml:space="preserve"> </w:t>
      </w:r>
      <w:r w:rsidR="00B510C6" w:rsidRPr="00A3025D">
        <w:rPr>
          <w:rFonts w:ascii="Garamond" w:hAnsi="Garamond"/>
          <w:sz w:val="24"/>
          <w:szCs w:val="24"/>
          <w:lang w:val="es-ES"/>
        </w:rPr>
        <w:t>derechos  individuales  o  colectivos dependiera de ello</w:t>
      </w:r>
      <w:r w:rsidR="00F41BE2" w:rsidRPr="00A3025D">
        <w:rPr>
          <w:rFonts w:ascii="Garamond" w:hAnsi="Garamond"/>
          <w:sz w:val="24"/>
          <w:szCs w:val="24"/>
          <w:lang w:val="es-ES"/>
        </w:rPr>
        <w:t>”</w:t>
      </w:r>
      <w:r w:rsidRPr="00A3025D">
        <w:rPr>
          <w:rFonts w:ascii="Garamond" w:hAnsi="Garamond"/>
          <w:sz w:val="24"/>
          <w:szCs w:val="24"/>
          <w:lang w:val="es-ES"/>
        </w:rPr>
        <w:t xml:space="preserve"> (ídem).</w:t>
      </w:r>
    </w:p>
    <w:p w:rsidR="0066397E" w:rsidRDefault="0066397E" w:rsidP="0066397E">
      <w:pPr>
        <w:spacing w:line="360" w:lineRule="auto"/>
        <w:ind w:firstLine="360"/>
        <w:jc w:val="both"/>
        <w:rPr>
          <w:rFonts w:ascii="Garamond" w:hAnsi="Garamond"/>
          <w:sz w:val="24"/>
          <w:szCs w:val="24"/>
          <w:lang w:val="es-ES"/>
        </w:rPr>
      </w:pPr>
      <w:r>
        <w:rPr>
          <w:rFonts w:ascii="Garamond" w:hAnsi="Garamond"/>
          <w:sz w:val="24"/>
          <w:szCs w:val="24"/>
          <w:lang w:val="es-ES"/>
        </w:rPr>
        <w:t xml:space="preserve">En un sentido análogo, se ha dicho que el incumplimiento de un deber de un poder del Estado, que se traduce en una demora por un lapso excesivamente prolongado implica una conducta ilegal e injustificada; y que, a su vez, este accionar de las autoridades públicas </w:t>
      </w:r>
      <w:proofErr w:type="gramStart"/>
      <w:r>
        <w:rPr>
          <w:rFonts w:ascii="Garamond" w:hAnsi="Garamond"/>
          <w:sz w:val="24"/>
          <w:szCs w:val="24"/>
          <w:lang w:val="es-ES"/>
        </w:rPr>
        <w:t>pueden</w:t>
      </w:r>
      <w:proofErr w:type="gramEnd"/>
      <w:r>
        <w:rPr>
          <w:rFonts w:ascii="Garamond" w:hAnsi="Garamond"/>
          <w:sz w:val="24"/>
          <w:szCs w:val="24"/>
          <w:lang w:val="es-ES"/>
        </w:rPr>
        <w:t xml:space="preserve"> negar la operatividad de un derecho reconocido en el ordenamiento. En dicho caso, también, se entendió que la interferencia con el derecho a la participación que la vulneración de los procedimientos implicaba legitimaba al actor para la promoción de una acción judicial (ver CACAYT, Sala III, “García”, </w:t>
      </w:r>
      <w:proofErr w:type="spellStart"/>
      <w:r>
        <w:rPr>
          <w:rFonts w:ascii="Garamond" w:hAnsi="Garamond"/>
          <w:sz w:val="24"/>
          <w:szCs w:val="24"/>
          <w:lang w:val="es-ES"/>
        </w:rPr>
        <w:t>exp</w:t>
      </w:r>
      <w:proofErr w:type="spellEnd"/>
      <w:r>
        <w:rPr>
          <w:rFonts w:ascii="Garamond" w:hAnsi="Garamond"/>
          <w:sz w:val="24"/>
          <w:szCs w:val="24"/>
          <w:lang w:val="es-ES"/>
        </w:rPr>
        <w:t>. A 3638).</w:t>
      </w:r>
    </w:p>
    <w:p w:rsidR="0066397E" w:rsidRPr="0066397E" w:rsidRDefault="0066397E" w:rsidP="0066397E">
      <w:pPr>
        <w:spacing w:line="360" w:lineRule="auto"/>
        <w:ind w:firstLine="360"/>
        <w:jc w:val="both"/>
        <w:rPr>
          <w:rFonts w:ascii="Garamond" w:hAnsi="Garamond"/>
          <w:sz w:val="24"/>
          <w:szCs w:val="24"/>
          <w:lang w:val="es-ES"/>
        </w:rPr>
      </w:pPr>
      <w:r>
        <w:rPr>
          <w:rFonts w:ascii="Garamond" w:hAnsi="Garamond"/>
          <w:sz w:val="24"/>
          <w:szCs w:val="24"/>
          <w:lang w:val="es-ES"/>
        </w:rPr>
        <w:t>Resta agregar, por último, que la omisión del Poder Ejecutivo afecta el principio de división de poderes, en tanto desnaturaliza y banaliza el rol que el Poder Legislativo está llamado a cumplir en la discusión y aprobación de los recursos y gastos públicos; reducir las oportunidades reales de que un poder del Estado lleve delante de manera genuina las facultades que tiene constitucionalmente otorgadas atenta contra el balance y distribución de poder que es necesario asegurar en un Estado de Derecho.</w:t>
      </w:r>
    </w:p>
    <w:p w:rsidR="00735882" w:rsidRPr="00A00423" w:rsidRDefault="00735882" w:rsidP="00CB7177">
      <w:pPr>
        <w:pStyle w:val="Prrafodelista"/>
        <w:numPr>
          <w:ilvl w:val="0"/>
          <w:numId w:val="5"/>
        </w:numPr>
        <w:spacing w:line="360" w:lineRule="auto"/>
        <w:jc w:val="both"/>
        <w:rPr>
          <w:rFonts w:ascii="Garamond" w:hAnsi="Garamond"/>
          <w:b/>
          <w:sz w:val="24"/>
          <w:szCs w:val="24"/>
          <w:u w:val="single"/>
        </w:rPr>
      </w:pPr>
      <w:r w:rsidRPr="00A00423">
        <w:rPr>
          <w:rFonts w:ascii="Garamond" w:hAnsi="Garamond"/>
          <w:b/>
          <w:sz w:val="24"/>
          <w:szCs w:val="24"/>
          <w:u w:val="single"/>
        </w:rPr>
        <w:t>Le</w:t>
      </w:r>
      <w:r w:rsidR="00190F79" w:rsidRPr="00A00423">
        <w:rPr>
          <w:rFonts w:ascii="Garamond" w:hAnsi="Garamond"/>
          <w:b/>
          <w:sz w:val="24"/>
          <w:szCs w:val="24"/>
          <w:u w:val="single"/>
        </w:rPr>
        <w:t>gitimación de ACIJ</w:t>
      </w:r>
    </w:p>
    <w:p w:rsidR="00DC01A6" w:rsidRPr="00A3025D" w:rsidRDefault="00BE3623" w:rsidP="00444649">
      <w:pPr>
        <w:spacing w:after="100" w:afterAutospacing="1" w:line="360" w:lineRule="auto"/>
        <w:ind w:firstLine="567"/>
        <w:jc w:val="both"/>
        <w:rPr>
          <w:rFonts w:ascii="Garamond" w:hAnsi="Garamond" w:cs="Times New Roman"/>
          <w:sz w:val="24"/>
          <w:szCs w:val="24"/>
        </w:rPr>
      </w:pPr>
      <w:r>
        <w:rPr>
          <w:rFonts w:ascii="Garamond" w:hAnsi="Garamond"/>
          <w:sz w:val="24"/>
          <w:szCs w:val="24"/>
        </w:rPr>
        <w:t>D</w:t>
      </w:r>
      <w:r w:rsidR="00DC01A6" w:rsidRPr="00BE3623">
        <w:rPr>
          <w:rFonts w:ascii="Garamond" w:hAnsi="Garamond"/>
          <w:sz w:val="24"/>
          <w:szCs w:val="24"/>
        </w:rPr>
        <w:t xml:space="preserve">e acuerdo con el Estatuto de la Asociación, ACIJ tiene por objeto </w:t>
      </w:r>
      <w:r w:rsidR="00444649" w:rsidRPr="00BE3623">
        <w:rPr>
          <w:rFonts w:ascii="Garamond" w:hAnsi="Garamond" w:cs="Times New Roman"/>
          <w:sz w:val="24"/>
          <w:szCs w:val="24"/>
        </w:rPr>
        <w:t xml:space="preserve">–entre otros- la creación de un espacio de activismo y control ciudadano, destinado a promover el </w:t>
      </w:r>
      <w:r w:rsidR="00444649" w:rsidRPr="00A3025D">
        <w:rPr>
          <w:rFonts w:ascii="Garamond" w:hAnsi="Garamond" w:cs="Times New Roman"/>
          <w:sz w:val="24"/>
          <w:szCs w:val="24"/>
        </w:rPr>
        <w:t>fortalecimiento institucional</w:t>
      </w:r>
      <w:r w:rsidR="00FB3575" w:rsidRPr="00A3025D">
        <w:rPr>
          <w:rFonts w:ascii="Garamond" w:hAnsi="Garamond" w:cs="Times New Roman"/>
          <w:sz w:val="24"/>
          <w:szCs w:val="24"/>
        </w:rPr>
        <w:t>,</w:t>
      </w:r>
      <w:r w:rsidR="00444649" w:rsidRPr="00A3025D">
        <w:rPr>
          <w:rFonts w:ascii="Garamond" w:hAnsi="Garamond" w:cs="Times New Roman"/>
          <w:sz w:val="24"/>
          <w:szCs w:val="24"/>
        </w:rPr>
        <w:t xml:space="preserve"> la construcción de ciudadanía comprometida con el respeto de los derechos </w:t>
      </w:r>
      <w:r w:rsidR="00444649" w:rsidRPr="00A3025D">
        <w:rPr>
          <w:rFonts w:ascii="Garamond" w:hAnsi="Garamond" w:cs="Times New Roman"/>
          <w:sz w:val="24"/>
          <w:szCs w:val="24"/>
        </w:rPr>
        <w:lastRenderedPageBreak/>
        <w:t>fundamentales, y la defensa de los derechos reconocidos en la Constitución Nacional y aquellos de incidencia colectiva en general.</w:t>
      </w:r>
    </w:p>
    <w:p w:rsidR="00D14B15" w:rsidRPr="00A3025D" w:rsidRDefault="003724AD" w:rsidP="000301F5">
      <w:pPr>
        <w:spacing w:line="360" w:lineRule="auto"/>
        <w:ind w:firstLine="708"/>
        <w:jc w:val="both"/>
        <w:rPr>
          <w:rFonts w:ascii="Garamond" w:hAnsi="Garamond"/>
          <w:sz w:val="24"/>
          <w:szCs w:val="24"/>
        </w:rPr>
      </w:pPr>
      <w:r w:rsidRPr="00A3025D">
        <w:rPr>
          <w:rFonts w:ascii="Garamond" w:hAnsi="Garamond"/>
          <w:sz w:val="24"/>
          <w:szCs w:val="24"/>
        </w:rPr>
        <w:t>Los derechos afectados dan legitimación activa a AC</w:t>
      </w:r>
      <w:r w:rsidR="00797E63" w:rsidRPr="00A3025D">
        <w:rPr>
          <w:rFonts w:ascii="Garamond" w:hAnsi="Garamond"/>
          <w:sz w:val="24"/>
          <w:szCs w:val="24"/>
        </w:rPr>
        <w:t>IJ para solicitar esta medida, y l</w:t>
      </w:r>
      <w:r w:rsidRPr="00A3025D">
        <w:rPr>
          <w:rFonts w:ascii="Garamond" w:hAnsi="Garamond"/>
          <w:sz w:val="24"/>
          <w:szCs w:val="24"/>
        </w:rPr>
        <w:t>os tribunales del fuero ya han tenido op</w:t>
      </w:r>
      <w:r w:rsidR="00797E63" w:rsidRPr="00A3025D">
        <w:rPr>
          <w:rFonts w:ascii="Garamond" w:hAnsi="Garamond"/>
          <w:sz w:val="24"/>
          <w:szCs w:val="24"/>
        </w:rPr>
        <w:t>ortunidad de pronunciarse a l</w:t>
      </w:r>
      <w:r w:rsidRPr="00A3025D">
        <w:rPr>
          <w:rFonts w:ascii="Garamond" w:hAnsi="Garamond"/>
          <w:sz w:val="24"/>
          <w:szCs w:val="24"/>
        </w:rPr>
        <w:t xml:space="preserve"> respecto. </w:t>
      </w:r>
      <w:r w:rsidR="00CF03B5" w:rsidRPr="00A3025D">
        <w:rPr>
          <w:rFonts w:ascii="Garamond" w:hAnsi="Garamond"/>
          <w:sz w:val="24"/>
          <w:szCs w:val="24"/>
        </w:rPr>
        <w:t>Específicamente, han entendido que, en el contexto de la democracia participativa vigente en la Ciudad y como “…</w:t>
      </w:r>
      <w:r w:rsidR="00A81CB5" w:rsidRPr="00A3025D">
        <w:rPr>
          <w:rFonts w:ascii="Garamond" w:hAnsi="Garamond"/>
          <w:sz w:val="24"/>
          <w:szCs w:val="24"/>
        </w:rPr>
        <w:t>la afectación de los derechos políticos tiene un efecto generalizado pues potencialmente incide sobre todos los que se encuentran en la misma situación, no</w:t>
      </w:r>
      <w:r w:rsidR="00600361" w:rsidRPr="00A3025D">
        <w:rPr>
          <w:rFonts w:ascii="Garamond" w:hAnsi="Garamond"/>
          <w:sz w:val="24"/>
          <w:szCs w:val="24"/>
        </w:rPr>
        <w:t xml:space="preserve"> cabe sino concluir que (…) </w:t>
      </w:r>
      <w:r w:rsidR="00A81CB5" w:rsidRPr="00A3025D">
        <w:rPr>
          <w:rFonts w:ascii="Garamond" w:hAnsi="Garamond"/>
          <w:sz w:val="24"/>
          <w:szCs w:val="24"/>
        </w:rPr>
        <w:t>el derecho a la participación en la formulación del presupuesto no reviste sólo el carácter de derecho subjetivo, sino que se encuentra comprendido dentro de la categoría de derechos colectivos</w:t>
      </w:r>
      <w:r w:rsidR="00D14B15" w:rsidRPr="00A3025D">
        <w:rPr>
          <w:rFonts w:ascii="Garamond" w:hAnsi="Garamond"/>
          <w:sz w:val="24"/>
          <w:szCs w:val="24"/>
        </w:rPr>
        <w:t>…”</w:t>
      </w:r>
      <w:r w:rsidR="00D40054" w:rsidRPr="00A3025D">
        <w:rPr>
          <w:rFonts w:ascii="Garamond" w:hAnsi="Garamond"/>
          <w:sz w:val="24"/>
          <w:szCs w:val="24"/>
        </w:rPr>
        <w:t xml:space="preserve"> (“García </w:t>
      </w:r>
      <w:proofErr w:type="spellStart"/>
      <w:r w:rsidR="00D40054" w:rsidRPr="00A3025D">
        <w:rPr>
          <w:rFonts w:ascii="Garamond" w:hAnsi="Garamond"/>
          <w:sz w:val="24"/>
          <w:szCs w:val="24"/>
        </w:rPr>
        <w:t>Elorrio</w:t>
      </w:r>
      <w:proofErr w:type="spellEnd"/>
      <w:r w:rsidR="00D40054" w:rsidRPr="00A3025D">
        <w:rPr>
          <w:rFonts w:ascii="Garamond" w:hAnsi="Garamond"/>
          <w:sz w:val="24"/>
          <w:szCs w:val="24"/>
        </w:rPr>
        <w:t>”, causa citada).</w:t>
      </w:r>
      <w:r w:rsidR="00974722" w:rsidRPr="00A3025D">
        <w:rPr>
          <w:rFonts w:ascii="Garamond" w:hAnsi="Garamond"/>
          <w:sz w:val="24"/>
          <w:szCs w:val="24"/>
        </w:rPr>
        <w:t xml:space="preserve"> Esta afectación de derechos, por lo demás, encuentra una única causa, y genera efectos comunes en todos los afectados.</w:t>
      </w:r>
    </w:p>
    <w:p w:rsidR="00C62A13" w:rsidRDefault="00600361" w:rsidP="00E07A8C">
      <w:pPr>
        <w:spacing w:line="360" w:lineRule="auto"/>
        <w:ind w:firstLine="708"/>
        <w:jc w:val="both"/>
        <w:rPr>
          <w:rFonts w:ascii="Garamond" w:hAnsi="Garamond"/>
          <w:sz w:val="24"/>
          <w:szCs w:val="24"/>
        </w:rPr>
      </w:pPr>
      <w:r w:rsidRPr="00A3025D">
        <w:rPr>
          <w:rFonts w:ascii="Garamond" w:hAnsi="Garamond"/>
          <w:sz w:val="24"/>
          <w:szCs w:val="24"/>
        </w:rPr>
        <w:t>P</w:t>
      </w:r>
      <w:r w:rsidR="00D40054" w:rsidRPr="00A3025D">
        <w:rPr>
          <w:rFonts w:ascii="Garamond" w:hAnsi="Garamond"/>
          <w:sz w:val="24"/>
          <w:szCs w:val="24"/>
        </w:rPr>
        <w:t xml:space="preserve">recisamente </w:t>
      </w:r>
      <w:r w:rsidR="00426CCB" w:rsidRPr="00A3025D">
        <w:rPr>
          <w:rFonts w:ascii="Garamond" w:hAnsi="Garamond"/>
          <w:sz w:val="24"/>
          <w:szCs w:val="24"/>
        </w:rPr>
        <w:t>en referencia a la participación en el presupuesto y al impacto que en ella tiene una omisión de los poderes públicos (en</w:t>
      </w:r>
      <w:r w:rsidRPr="00A3025D">
        <w:rPr>
          <w:rFonts w:ascii="Garamond" w:hAnsi="Garamond"/>
          <w:sz w:val="24"/>
          <w:szCs w:val="24"/>
        </w:rPr>
        <w:t xml:space="preserve"> el caso, de publicar una norma;</w:t>
      </w:r>
      <w:r w:rsidR="00426CCB" w:rsidRPr="00A3025D">
        <w:rPr>
          <w:rFonts w:ascii="Garamond" w:hAnsi="Garamond"/>
          <w:sz w:val="24"/>
          <w:szCs w:val="24"/>
        </w:rPr>
        <w:t xml:space="preserve"> en el presente, de presentar un proyecto de norma para hacerlo conocer), </w:t>
      </w:r>
      <w:r w:rsidRPr="00A3025D">
        <w:rPr>
          <w:rFonts w:ascii="Garamond" w:hAnsi="Garamond"/>
          <w:sz w:val="24"/>
          <w:szCs w:val="24"/>
        </w:rPr>
        <w:t xml:space="preserve">los tribunales </w:t>
      </w:r>
      <w:r w:rsidR="00426CCB" w:rsidRPr="00A3025D">
        <w:rPr>
          <w:rFonts w:ascii="Garamond" w:hAnsi="Garamond"/>
          <w:sz w:val="24"/>
          <w:szCs w:val="24"/>
        </w:rPr>
        <w:t>han sostenido que “…</w:t>
      </w:r>
      <w:r w:rsidR="00A81CB5" w:rsidRPr="00A3025D">
        <w:rPr>
          <w:rFonts w:ascii="Garamond" w:hAnsi="Garamond"/>
          <w:sz w:val="24"/>
          <w:szCs w:val="24"/>
        </w:rPr>
        <w:t>entre el daño invocado por los actores y el interés protegido, se advierte la existencia de un perjuicio mediato suficiente para configurar un “caso judicial de incidencia colectiva”. En efecto, el actor invoca la omisión en que incurren los poderes políticos en relación a la sanción de la ley prevista en el art. 52, CCABA, omisión que le impide ejercer debidamente su derecho a participar en la plani</w:t>
      </w:r>
      <w:r w:rsidR="00C0559A" w:rsidRPr="00A3025D">
        <w:rPr>
          <w:rFonts w:ascii="Garamond" w:hAnsi="Garamond"/>
          <w:sz w:val="24"/>
          <w:szCs w:val="24"/>
        </w:rPr>
        <w:t>ficación del presupuesto anual” (ídem).</w:t>
      </w:r>
    </w:p>
    <w:p w:rsidR="00BE3623" w:rsidRPr="00BE3623" w:rsidRDefault="00BE3623" w:rsidP="00BE3623">
      <w:pPr>
        <w:spacing w:line="360" w:lineRule="auto"/>
        <w:ind w:firstLine="708"/>
        <w:jc w:val="both"/>
        <w:rPr>
          <w:rFonts w:ascii="Garamond" w:hAnsi="Garamond"/>
          <w:sz w:val="24"/>
          <w:szCs w:val="24"/>
        </w:rPr>
      </w:pPr>
      <w:r w:rsidRPr="00963120">
        <w:rPr>
          <w:rFonts w:ascii="Garamond" w:hAnsi="Garamond"/>
          <w:sz w:val="24"/>
          <w:szCs w:val="24"/>
        </w:rPr>
        <w:t>Cabe tener en cuenta</w:t>
      </w:r>
      <w:r>
        <w:rPr>
          <w:rFonts w:ascii="Garamond" w:hAnsi="Garamond"/>
          <w:sz w:val="24"/>
          <w:szCs w:val="24"/>
        </w:rPr>
        <w:t xml:space="preserve"> además</w:t>
      </w:r>
      <w:r w:rsidRPr="00963120">
        <w:rPr>
          <w:rFonts w:ascii="Garamond" w:hAnsi="Garamond"/>
          <w:sz w:val="24"/>
          <w:szCs w:val="24"/>
        </w:rPr>
        <w:t xml:space="preserve"> que según la Corte </w:t>
      </w:r>
      <w:r>
        <w:rPr>
          <w:rFonts w:ascii="Garamond" w:hAnsi="Garamond"/>
          <w:sz w:val="24"/>
          <w:szCs w:val="24"/>
        </w:rPr>
        <w:t xml:space="preserve">Suprema </w:t>
      </w:r>
      <w:r w:rsidRPr="00963120">
        <w:rPr>
          <w:rFonts w:ascii="Garamond" w:hAnsi="Garamond"/>
          <w:sz w:val="24"/>
          <w:szCs w:val="24"/>
        </w:rPr>
        <w:t>de Justicia de la Nación, en este tipo de procesos cabe aplicar criterios amplísimos de interpretación. Y ellos es así dado que para el Tribunal “[e]n estas situaciones excepcionalísimas, en las que se denuncia que han sido lesionadas expresas disposiciones constitucionales que hacen a la esencia de la forma republ</w:t>
      </w:r>
      <w:r w:rsidRPr="005B1B7E">
        <w:rPr>
          <w:rFonts w:ascii="Garamond" w:hAnsi="Garamond"/>
          <w:sz w:val="24"/>
          <w:szCs w:val="24"/>
        </w:rPr>
        <w:t xml:space="preserve">icana de gobierno, poniendo en jaque los pilares de la arquitectura de la organización del poder diagramada en la Ley Fundamental, la simple condición de ciudadano resultaría suficiente para tener por demostrada la existencia de un interés "especial” o "directo” (CSJN, </w:t>
      </w:r>
      <w:proofErr w:type="spellStart"/>
      <w:r w:rsidRPr="005B1B7E">
        <w:rPr>
          <w:rFonts w:ascii="Garamond" w:hAnsi="Garamond"/>
          <w:sz w:val="24"/>
          <w:szCs w:val="24"/>
        </w:rPr>
        <w:t>exp</w:t>
      </w:r>
      <w:proofErr w:type="spellEnd"/>
      <w:r w:rsidRPr="005B1B7E">
        <w:rPr>
          <w:rFonts w:ascii="Garamond" w:hAnsi="Garamond"/>
          <w:sz w:val="24"/>
          <w:szCs w:val="24"/>
        </w:rPr>
        <w:t>. 22/2009 (45-C) “Colegio de Abogados de Tucumán”).</w:t>
      </w:r>
    </w:p>
    <w:p w:rsidR="00BE3623" w:rsidRPr="00BE3623" w:rsidRDefault="00E07A8C" w:rsidP="002D6863">
      <w:pPr>
        <w:spacing w:line="360" w:lineRule="auto"/>
        <w:ind w:firstLine="708"/>
        <w:jc w:val="both"/>
        <w:rPr>
          <w:rFonts w:ascii="Garamond" w:hAnsi="Garamond"/>
          <w:sz w:val="24"/>
          <w:szCs w:val="24"/>
        </w:rPr>
      </w:pPr>
      <w:r w:rsidRPr="00BE3623">
        <w:rPr>
          <w:rFonts w:ascii="Garamond" w:hAnsi="Garamond"/>
          <w:sz w:val="24"/>
          <w:szCs w:val="24"/>
        </w:rPr>
        <w:lastRenderedPageBreak/>
        <w:t xml:space="preserve">En paralelo, </w:t>
      </w:r>
      <w:r w:rsidRPr="00AA1631">
        <w:rPr>
          <w:rFonts w:ascii="Garamond" w:hAnsi="Garamond"/>
          <w:b/>
          <w:sz w:val="24"/>
          <w:szCs w:val="24"/>
        </w:rPr>
        <w:t>ACIJ</w:t>
      </w:r>
      <w:r w:rsidR="00BE3623" w:rsidRPr="00AA1631">
        <w:rPr>
          <w:rFonts w:ascii="Garamond" w:hAnsi="Garamond"/>
          <w:b/>
          <w:sz w:val="24"/>
          <w:szCs w:val="24"/>
        </w:rPr>
        <w:t xml:space="preserve"> también</w:t>
      </w:r>
      <w:r w:rsidRPr="00AA1631">
        <w:rPr>
          <w:rFonts w:ascii="Garamond" w:hAnsi="Garamond"/>
          <w:b/>
          <w:sz w:val="24"/>
          <w:szCs w:val="24"/>
        </w:rPr>
        <w:t xml:space="preserve"> tiene un interés</w:t>
      </w:r>
      <w:r w:rsidR="00BE3623" w:rsidRPr="00AA1631">
        <w:rPr>
          <w:rFonts w:ascii="Garamond" w:hAnsi="Garamond"/>
          <w:b/>
          <w:sz w:val="24"/>
          <w:szCs w:val="24"/>
        </w:rPr>
        <w:t xml:space="preserve"> propio y</w:t>
      </w:r>
      <w:r w:rsidRPr="00AA1631">
        <w:rPr>
          <w:rFonts w:ascii="Garamond" w:hAnsi="Garamond"/>
          <w:b/>
          <w:sz w:val="24"/>
          <w:szCs w:val="24"/>
        </w:rPr>
        <w:t xml:space="preserve"> específico en el caso que le otorga legitimación</w:t>
      </w:r>
      <w:r w:rsidRPr="00BE3623">
        <w:rPr>
          <w:rFonts w:ascii="Garamond" w:hAnsi="Garamond"/>
          <w:sz w:val="24"/>
          <w:szCs w:val="24"/>
        </w:rPr>
        <w:t xml:space="preserve">, puesto que hace varios años lleva adelante tareas de análisis de los proyectos de </w:t>
      </w:r>
      <w:r w:rsidR="00600361" w:rsidRPr="00BE3623">
        <w:rPr>
          <w:rFonts w:ascii="Garamond" w:hAnsi="Garamond"/>
          <w:sz w:val="24"/>
          <w:szCs w:val="24"/>
        </w:rPr>
        <w:t>ley de presupuesto en la Ciudad</w:t>
      </w:r>
      <w:r w:rsidR="00BE3623">
        <w:rPr>
          <w:rFonts w:ascii="Garamond" w:hAnsi="Garamond"/>
          <w:sz w:val="24"/>
          <w:szCs w:val="24"/>
        </w:rPr>
        <w:t xml:space="preserve">, participa activamente del debate público sobre estos proyectos, </w:t>
      </w:r>
      <w:r w:rsidRPr="00BE3623">
        <w:rPr>
          <w:rFonts w:ascii="Garamond" w:hAnsi="Garamond"/>
          <w:sz w:val="24"/>
          <w:szCs w:val="24"/>
        </w:rPr>
        <w:t xml:space="preserve"> y promueve de distintas formas modificaciones a esos proyectos que se ajusten mejor a los compromisos que en materia de derechos asumió el Estado (</w:t>
      </w:r>
      <w:r w:rsidR="00446056" w:rsidRPr="00BE3623">
        <w:rPr>
          <w:rFonts w:ascii="Garamond" w:hAnsi="Garamond"/>
          <w:sz w:val="24"/>
          <w:szCs w:val="24"/>
        </w:rPr>
        <w:t>se acompañan informes ilustrativos de esta tarea de ACIJ).</w:t>
      </w:r>
      <w:r w:rsidR="00AA1631">
        <w:rPr>
          <w:rFonts w:ascii="Garamond" w:hAnsi="Garamond"/>
          <w:sz w:val="24"/>
          <w:szCs w:val="24"/>
        </w:rPr>
        <w:t xml:space="preserve"> </w:t>
      </w:r>
      <w:r w:rsidR="00600361" w:rsidRPr="00BE3623">
        <w:rPr>
          <w:rFonts w:ascii="Garamond" w:hAnsi="Garamond"/>
          <w:sz w:val="24"/>
          <w:szCs w:val="24"/>
        </w:rPr>
        <w:t>Por ende, ACIJ se encuentra</w:t>
      </w:r>
      <w:r w:rsidR="00BE3623">
        <w:rPr>
          <w:rFonts w:ascii="Garamond" w:hAnsi="Garamond"/>
          <w:sz w:val="24"/>
          <w:szCs w:val="24"/>
        </w:rPr>
        <w:t xml:space="preserve"> doble y</w:t>
      </w:r>
      <w:r w:rsidR="00600361" w:rsidRPr="00BE3623">
        <w:rPr>
          <w:rFonts w:ascii="Garamond" w:hAnsi="Garamond"/>
          <w:sz w:val="24"/>
          <w:szCs w:val="24"/>
        </w:rPr>
        <w:t xml:space="preserve"> debidamente legiti</w:t>
      </w:r>
      <w:r w:rsidR="002D6863">
        <w:rPr>
          <w:rFonts w:ascii="Garamond" w:hAnsi="Garamond"/>
          <w:sz w:val="24"/>
          <w:szCs w:val="24"/>
        </w:rPr>
        <w:t>mada para solicitar esta medida: por</w:t>
      </w:r>
      <w:r w:rsidR="002D6863" w:rsidRPr="002D6863">
        <w:rPr>
          <w:rFonts w:ascii="Garamond" w:hAnsi="Garamond"/>
          <w:sz w:val="24"/>
          <w:szCs w:val="24"/>
        </w:rPr>
        <w:t xml:space="preserve"> el incumplimiento</w:t>
      </w:r>
      <w:r w:rsidR="002D6863">
        <w:rPr>
          <w:rFonts w:ascii="Garamond" w:hAnsi="Garamond"/>
          <w:sz w:val="24"/>
          <w:szCs w:val="24"/>
        </w:rPr>
        <w:t xml:space="preserve"> del Poder Ejecutivo que la afecta en forma directa, y por encontrarse vulnerados </w:t>
      </w:r>
      <w:r w:rsidR="002D6863" w:rsidRPr="002D6863">
        <w:rPr>
          <w:rFonts w:ascii="Garamond" w:hAnsi="Garamond"/>
          <w:sz w:val="24"/>
          <w:szCs w:val="24"/>
        </w:rPr>
        <w:t>derechos de incidencia colectiva.</w:t>
      </w:r>
    </w:p>
    <w:p w:rsidR="00735882" w:rsidRPr="00A3025D" w:rsidRDefault="00735882" w:rsidP="00CB7177">
      <w:pPr>
        <w:pStyle w:val="Prrafodelista"/>
        <w:numPr>
          <w:ilvl w:val="0"/>
          <w:numId w:val="5"/>
        </w:numPr>
        <w:spacing w:line="360" w:lineRule="auto"/>
        <w:jc w:val="both"/>
        <w:rPr>
          <w:rFonts w:ascii="Garamond" w:hAnsi="Garamond"/>
          <w:b/>
          <w:sz w:val="24"/>
          <w:szCs w:val="24"/>
          <w:u w:val="single"/>
        </w:rPr>
      </w:pPr>
      <w:r w:rsidRPr="00A3025D">
        <w:rPr>
          <w:rFonts w:ascii="Garamond" w:hAnsi="Garamond"/>
          <w:b/>
          <w:sz w:val="24"/>
          <w:szCs w:val="24"/>
          <w:u w:val="single"/>
        </w:rPr>
        <w:t xml:space="preserve">Procedencia formal de la medida </w:t>
      </w:r>
      <w:proofErr w:type="spellStart"/>
      <w:r w:rsidRPr="00A3025D">
        <w:rPr>
          <w:rFonts w:ascii="Garamond" w:hAnsi="Garamond"/>
          <w:b/>
          <w:sz w:val="24"/>
          <w:szCs w:val="24"/>
          <w:u w:val="single"/>
        </w:rPr>
        <w:t>autosatisfactiva</w:t>
      </w:r>
      <w:proofErr w:type="spellEnd"/>
    </w:p>
    <w:p w:rsidR="006A6D7C" w:rsidRPr="00A3025D" w:rsidRDefault="00A9483E" w:rsidP="00EB5A65">
      <w:pPr>
        <w:spacing w:line="360" w:lineRule="auto"/>
        <w:ind w:firstLine="360"/>
        <w:jc w:val="both"/>
        <w:rPr>
          <w:rFonts w:ascii="Garamond" w:hAnsi="Garamond"/>
          <w:sz w:val="24"/>
          <w:szCs w:val="24"/>
        </w:rPr>
      </w:pPr>
      <w:r w:rsidRPr="00A3025D">
        <w:rPr>
          <w:rFonts w:ascii="Garamond" w:hAnsi="Garamond"/>
          <w:sz w:val="24"/>
          <w:szCs w:val="24"/>
        </w:rPr>
        <w:t>Está comúnmente aceptado que “[p]</w:t>
      </w:r>
      <w:r w:rsidR="00780806" w:rsidRPr="00A3025D">
        <w:rPr>
          <w:rFonts w:ascii="Garamond" w:hAnsi="Garamond"/>
          <w:sz w:val="24"/>
          <w:szCs w:val="24"/>
        </w:rPr>
        <w:t xml:space="preserve">ara acordar una medida </w:t>
      </w:r>
      <w:proofErr w:type="spellStart"/>
      <w:r w:rsidR="00780806" w:rsidRPr="00A3025D">
        <w:rPr>
          <w:rFonts w:ascii="Garamond" w:hAnsi="Garamond"/>
          <w:sz w:val="24"/>
          <w:szCs w:val="24"/>
        </w:rPr>
        <w:t>autosatisfactiva</w:t>
      </w:r>
      <w:proofErr w:type="spellEnd"/>
      <w:r w:rsidR="00780806" w:rsidRPr="00A3025D">
        <w:rPr>
          <w:rFonts w:ascii="Garamond" w:hAnsi="Garamond"/>
          <w:sz w:val="24"/>
          <w:szCs w:val="24"/>
        </w:rPr>
        <w:t xml:space="preserve"> resulta imprescindible tanto demostrar la existencia de una fuerte probabilidad de que le asista razón al solicitante, así como l</w:t>
      </w:r>
      <w:r w:rsidR="009A7E7C" w:rsidRPr="00A3025D">
        <w:rPr>
          <w:rFonts w:ascii="Garamond" w:hAnsi="Garamond"/>
          <w:sz w:val="24"/>
          <w:szCs w:val="24"/>
        </w:rPr>
        <w:t xml:space="preserve">a urgencia que media en el caso” (ver </w:t>
      </w:r>
      <w:r w:rsidR="00AB3CE8" w:rsidRPr="00A3025D">
        <w:rPr>
          <w:rFonts w:ascii="Garamond" w:hAnsi="Garamond"/>
          <w:sz w:val="24"/>
          <w:szCs w:val="24"/>
        </w:rPr>
        <w:t>CACAYT, causa n°</w:t>
      </w:r>
      <w:r w:rsidR="009A7E7C" w:rsidRPr="00A3025D">
        <w:rPr>
          <w:rFonts w:ascii="Garamond" w:hAnsi="Garamond"/>
          <w:sz w:val="24"/>
          <w:szCs w:val="24"/>
        </w:rPr>
        <w:t xml:space="preserve"> 11881-0, “REBOT” -</w:t>
      </w:r>
      <w:r w:rsidR="00780806" w:rsidRPr="00A3025D">
        <w:rPr>
          <w:rFonts w:ascii="Garamond" w:hAnsi="Garamond"/>
          <w:sz w:val="24"/>
          <w:szCs w:val="24"/>
        </w:rPr>
        <w:t>voto de Dr. Corti</w:t>
      </w:r>
      <w:r w:rsidR="009A7E7C" w:rsidRPr="00A3025D">
        <w:rPr>
          <w:rFonts w:ascii="Garamond" w:hAnsi="Garamond"/>
          <w:sz w:val="24"/>
          <w:szCs w:val="24"/>
        </w:rPr>
        <w:t xml:space="preserve">-, </w:t>
      </w:r>
      <w:proofErr w:type="spellStart"/>
      <w:r w:rsidR="009A7E7C" w:rsidRPr="00A3025D">
        <w:rPr>
          <w:rFonts w:ascii="Garamond" w:hAnsi="Garamond"/>
          <w:sz w:val="24"/>
          <w:szCs w:val="24"/>
        </w:rPr>
        <w:t>sent</w:t>
      </w:r>
      <w:proofErr w:type="spellEnd"/>
      <w:r w:rsidR="009A7E7C" w:rsidRPr="00A3025D">
        <w:rPr>
          <w:rFonts w:ascii="Garamond" w:hAnsi="Garamond"/>
          <w:sz w:val="24"/>
          <w:szCs w:val="24"/>
        </w:rPr>
        <w:t xml:space="preserve">. del  07-04-2006). </w:t>
      </w:r>
      <w:r w:rsidR="00EB5A65" w:rsidRPr="00A3025D">
        <w:rPr>
          <w:rFonts w:ascii="Garamond" w:hAnsi="Garamond"/>
          <w:sz w:val="24"/>
          <w:szCs w:val="24"/>
        </w:rPr>
        <w:t xml:space="preserve">Esta clase de medidas nace en razón de que </w:t>
      </w:r>
      <w:r w:rsidR="006A6D7C" w:rsidRPr="00A3025D">
        <w:rPr>
          <w:rFonts w:ascii="Garamond" w:hAnsi="Garamond"/>
          <w:sz w:val="24"/>
          <w:szCs w:val="24"/>
        </w:rPr>
        <w:t>ci</w:t>
      </w:r>
      <w:r w:rsidR="00EB5A65" w:rsidRPr="00A3025D">
        <w:rPr>
          <w:rFonts w:ascii="Garamond" w:hAnsi="Garamond"/>
          <w:sz w:val="24"/>
          <w:szCs w:val="24"/>
        </w:rPr>
        <w:t>ertas situaciones no encuentran</w:t>
      </w:r>
      <w:r w:rsidR="006A6D7C" w:rsidRPr="00A3025D">
        <w:rPr>
          <w:rFonts w:ascii="Garamond" w:hAnsi="Garamond"/>
          <w:sz w:val="24"/>
          <w:szCs w:val="24"/>
        </w:rPr>
        <w:t xml:space="preserve"> solución adecuada mediante las medi</w:t>
      </w:r>
      <w:r w:rsidR="00EB5A65" w:rsidRPr="00A3025D">
        <w:rPr>
          <w:rFonts w:ascii="Garamond" w:hAnsi="Garamond"/>
          <w:sz w:val="24"/>
          <w:szCs w:val="24"/>
        </w:rPr>
        <w:t xml:space="preserve">das precautorias tradicionales, cuando se necesita una respuesta </w:t>
      </w:r>
      <w:r w:rsidR="006A6D7C" w:rsidRPr="00A3025D">
        <w:rPr>
          <w:rFonts w:ascii="Garamond" w:hAnsi="Garamond"/>
          <w:sz w:val="24"/>
          <w:szCs w:val="24"/>
        </w:rPr>
        <w:t xml:space="preserve">expedita y eficaz </w:t>
      </w:r>
      <w:r w:rsidR="00EB5A65" w:rsidRPr="00A3025D">
        <w:rPr>
          <w:rFonts w:ascii="Garamond" w:hAnsi="Garamond"/>
          <w:sz w:val="24"/>
          <w:szCs w:val="24"/>
        </w:rPr>
        <w:t xml:space="preserve">ante una </w:t>
      </w:r>
      <w:r w:rsidR="006A6D7C" w:rsidRPr="00A3025D">
        <w:rPr>
          <w:rFonts w:ascii="Garamond" w:hAnsi="Garamond"/>
          <w:sz w:val="24"/>
          <w:szCs w:val="24"/>
        </w:rPr>
        <w:t>situación urgente que no requiere, para su resolución definitiva, la promoción de una acción principal (</w:t>
      </w:r>
      <w:r w:rsidR="00EB5A65" w:rsidRPr="00A3025D">
        <w:rPr>
          <w:rFonts w:ascii="Garamond" w:hAnsi="Garamond"/>
          <w:sz w:val="24"/>
          <w:szCs w:val="24"/>
        </w:rPr>
        <w:t xml:space="preserve">ver </w:t>
      </w:r>
      <w:proofErr w:type="spellStart"/>
      <w:r w:rsidR="00EB5A65" w:rsidRPr="00A3025D">
        <w:rPr>
          <w:rFonts w:ascii="Garamond" w:hAnsi="Garamond"/>
          <w:sz w:val="24"/>
          <w:szCs w:val="24"/>
        </w:rPr>
        <w:t>Peyrano</w:t>
      </w:r>
      <w:proofErr w:type="spellEnd"/>
      <w:r w:rsidR="00EB5A65" w:rsidRPr="00A3025D">
        <w:rPr>
          <w:rFonts w:ascii="Garamond" w:hAnsi="Garamond"/>
          <w:sz w:val="24"/>
          <w:szCs w:val="24"/>
        </w:rPr>
        <w:t>, J</w:t>
      </w:r>
      <w:r w:rsidR="006A6D7C" w:rsidRPr="00A3025D">
        <w:rPr>
          <w:rFonts w:ascii="Garamond" w:hAnsi="Garamond"/>
          <w:sz w:val="24"/>
          <w:szCs w:val="24"/>
        </w:rPr>
        <w:t xml:space="preserve">., "Los nuevos ejes de la reforma procesal civil: la medida </w:t>
      </w:r>
      <w:proofErr w:type="spellStart"/>
      <w:r w:rsidR="006A6D7C" w:rsidRPr="00A3025D">
        <w:rPr>
          <w:rFonts w:ascii="Garamond" w:hAnsi="Garamond"/>
          <w:sz w:val="24"/>
          <w:szCs w:val="24"/>
        </w:rPr>
        <w:t>autosatisfactiva</w:t>
      </w:r>
      <w:proofErr w:type="spellEnd"/>
      <w:r w:rsidR="006A6D7C" w:rsidRPr="00A3025D">
        <w:rPr>
          <w:rFonts w:ascii="Garamond" w:hAnsi="Garamond"/>
          <w:sz w:val="24"/>
          <w:szCs w:val="24"/>
        </w:rPr>
        <w:t>", E.D., 24/10/96).</w:t>
      </w:r>
    </w:p>
    <w:p w:rsidR="004B6A74" w:rsidRPr="00A3025D" w:rsidRDefault="00DF29B5" w:rsidP="009031C2">
      <w:pPr>
        <w:spacing w:line="360" w:lineRule="auto"/>
        <w:ind w:firstLine="360"/>
        <w:jc w:val="both"/>
        <w:rPr>
          <w:rFonts w:ascii="Garamond" w:hAnsi="Garamond"/>
          <w:sz w:val="24"/>
          <w:szCs w:val="24"/>
        </w:rPr>
      </w:pPr>
      <w:r w:rsidRPr="00A3025D">
        <w:rPr>
          <w:rFonts w:ascii="Garamond" w:hAnsi="Garamond"/>
          <w:sz w:val="24"/>
          <w:szCs w:val="24"/>
        </w:rPr>
        <w:t xml:space="preserve">En el marco de esta clase de medidas, los tribunales han considerado además otros factores relevantes, como </w:t>
      </w:r>
      <w:r w:rsidR="003E2E89" w:rsidRPr="00A3025D">
        <w:rPr>
          <w:rFonts w:ascii="Garamond" w:hAnsi="Garamond"/>
          <w:sz w:val="24"/>
          <w:szCs w:val="24"/>
        </w:rPr>
        <w:t>el carácter fundamental del derecho cuya tutela se busca, su consagración constitucional y el impacto que el paso del tiempo tendría en su frustración (</w:t>
      </w:r>
      <w:r w:rsidR="00724362" w:rsidRPr="00A3025D">
        <w:rPr>
          <w:rFonts w:ascii="Garamond" w:hAnsi="Garamond"/>
          <w:sz w:val="24"/>
          <w:szCs w:val="24"/>
        </w:rPr>
        <w:t>C</w:t>
      </w:r>
      <w:r w:rsidR="00CF1C6A" w:rsidRPr="00A3025D">
        <w:rPr>
          <w:rFonts w:ascii="Garamond" w:hAnsi="Garamond"/>
          <w:sz w:val="24"/>
          <w:szCs w:val="24"/>
        </w:rPr>
        <w:t xml:space="preserve">ACAYT, </w:t>
      </w:r>
      <w:proofErr w:type="spellStart"/>
      <w:r w:rsidR="00CF1C6A" w:rsidRPr="00A3025D">
        <w:rPr>
          <w:rFonts w:ascii="Garamond" w:hAnsi="Garamond"/>
          <w:sz w:val="24"/>
          <w:szCs w:val="24"/>
        </w:rPr>
        <w:t>exp</w:t>
      </w:r>
      <w:proofErr w:type="spellEnd"/>
      <w:r w:rsidR="00CF1C6A" w:rsidRPr="00A3025D">
        <w:rPr>
          <w:rFonts w:ascii="Garamond" w:hAnsi="Garamond"/>
          <w:sz w:val="24"/>
          <w:szCs w:val="24"/>
        </w:rPr>
        <w:t>. n°</w:t>
      </w:r>
      <w:r w:rsidR="00724362" w:rsidRPr="00A3025D">
        <w:rPr>
          <w:rFonts w:ascii="Garamond" w:hAnsi="Garamond"/>
          <w:sz w:val="24"/>
          <w:szCs w:val="24"/>
        </w:rPr>
        <w:t xml:space="preserve"> 44883-2. </w:t>
      </w:r>
      <w:r w:rsidR="009031C2" w:rsidRPr="00A3025D">
        <w:rPr>
          <w:rFonts w:ascii="Garamond" w:hAnsi="Garamond"/>
          <w:sz w:val="24"/>
          <w:szCs w:val="24"/>
        </w:rPr>
        <w:t>“</w:t>
      </w:r>
      <w:r w:rsidR="00724362" w:rsidRPr="00A3025D">
        <w:rPr>
          <w:rFonts w:ascii="Garamond" w:hAnsi="Garamond"/>
          <w:sz w:val="24"/>
          <w:szCs w:val="24"/>
        </w:rPr>
        <w:t>ASESORÍA TUTELAR N° 1</w:t>
      </w:r>
      <w:r w:rsidR="009031C2" w:rsidRPr="00A3025D">
        <w:rPr>
          <w:rFonts w:ascii="Garamond" w:hAnsi="Garamond"/>
          <w:sz w:val="24"/>
          <w:szCs w:val="24"/>
        </w:rPr>
        <w:t xml:space="preserve">”, </w:t>
      </w:r>
      <w:proofErr w:type="spellStart"/>
      <w:r w:rsidR="00CF1C6A" w:rsidRPr="00A3025D">
        <w:rPr>
          <w:rFonts w:ascii="Garamond" w:hAnsi="Garamond"/>
          <w:sz w:val="24"/>
          <w:szCs w:val="24"/>
        </w:rPr>
        <w:t>sento</w:t>
      </w:r>
      <w:proofErr w:type="spellEnd"/>
      <w:r w:rsidR="00CF1C6A" w:rsidRPr="00A3025D">
        <w:rPr>
          <w:rFonts w:ascii="Garamond" w:hAnsi="Garamond"/>
          <w:sz w:val="24"/>
          <w:szCs w:val="24"/>
        </w:rPr>
        <w:t xml:space="preserve">. Del </w:t>
      </w:r>
      <w:r w:rsidR="00724362" w:rsidRPr="00A3025D">
        <w:rPr>
          <w:rFonts w:ascii="Garamond" w:hAnsi="Garamond"/>
          <w:sz w:val="24"/>
          <w:szCs w:val="24"/>
        </w:rPr>
        <w:t xml:space="preserve">08-08-2014), o </w:t>
      </w:r>
      <w:r w:rsidR="009031C2" w:rsidRPr="00A3025D">
        <w:rPr>
          <w:rFonts w:ascii="Garamond" w:hAnsi="Garamond"/>
          <w:sz w:val="24"/>
          <w:szCs w:val="24"/>
        </w:rPr>
        <w:t xml:space="preserve">la prudencia con la que deben examinarse los valores y </w:t>
      </w:r>
      <w:r w:rsidR="004B6A74" w:rsidRPr="00A3025D">
        <w:rPr>
          <w:rFonts w:ascii="Garamond" w:hAnsi="Garamond"/>
          <w:sz w:val="24"/>
          <w:szCs w:val="24"/>
        </w:rPr>
        <w:t>bienes jurídicos en ju</w:t>
      </w:r>
      <w:r w:rsidR="009031C2" w:rsidRPr="00A3025D">
        <w:rPr>
          <w:rFonts w:ascii="Garamond" w:hAnsi="Garamond"/>
          <w:sz w:val="24"/>
          <w:szCs w:val="24"/>
        </w:rPr>
        <w:t>ego (</w:t>
      </w:r>
      <w:r w:rsidR="00031612" w:rsidRPr="00A3025D">
        <w:rPr>
          <w:rFonts w:ascii="Garamond" w:hAnsi="Garamond"/>
          <w:sz w:val="24"/>
          <w:szCs w:val="24"/>
        </w:rPr>
        <w:t>C</w:t>
      </w:r>
      <w:r w:rsidR="00CF1C6A" w:rsidRPr="00A3025D">
        <w:rPr>
          <w:rFonts w:ascii="Garamond" w:hAnsi="Garamond"/>
          <w:sz w:val="24"/>
          <w:szCs w:val="24"/>
        </w:rPr>
        <w:t xml:space="preserve">ACAYT, </w:t>
      </w:r>
      <w:proofErr w:type="spellStart"/>
      <w:r w:rsidR="00CF1C6A" w:rsidRPr="00A3025D">
        <w:rPr>
          <w:rFonts w:ascii="Garamond" w:hAnsi="Garamond"/>
          <w:sz w:val="24"/>
          <w:szCs w:val="24"/>
        </w:rPr>
        <w:t>exp</w:t>
      </w:r>
      <w:proofErr w:type="spellEnd"/>
      <w:r w:rsidR="00CF1C6A" w:rsidRPr="00A3025D">
        <w:rPr>
          <w:rFonts w:ascii="Garamond" w:hAnsi="Garamond"/>
          <w:sz w:val="24"/>
          <w:szCs w:val="24"/>
        </w:rPr>
        <w:t xml:space="preserve">. n° </w:t>
      </w:r>
      <w:r w:rsidR="009031C2" w:rsidRPr="00A3025D">
        <w:rPr>
          <w:rFonts w:ascii="Garamond" w:hAnsi="Garamond"/>
          <w:sz w:val="24"/>
          <w:szCs w:val="24"/>
        </w:rPr>
        <w:t>31665-1, “</w:t>
      </w:r>
      <w:r w:rsidR="00031612" w:rsidRPr="00A3025D">
        <w:rPr>
          <w:rFonts w:ascii="Garamond" w:hAnsi="Garamond"/>
          <w:sz w:val="24"/>
          <w:szCs w:val="24"/>
        </w:rPr>
        <w:t>FRIAS</w:t>
      </w:r>
      <w:r w:rsidR="009031C2" w:rsidRPr="00A3025D">
        <w:rPr>
          <w:rFonts w:ascii="Garamond" w:hAnsi="Garamond"/>
          <w:sz w:val="24"/>
          <w:szCs w:val="24"/>
        </w:rPr>
        <w:t xml:space="preserve">” </w:t>
      </w:r>
      <w:proofErr w:type="spellStart"/>
      <w:r w:rsidR="00CF1C6A" w:rsidRPr="00A3025D">
        <w:rPr>
          <w:rFonts w:ascii="Garamond" w:hAnsi="Garamond"/>
          <w:sz w:val="24"/>
          <w:szCs w:val="24"/>
        </w:rPr>
        <w:t>sent</w:t>
      </w:r>
      <w:proofErr w:type="spellEnd"/>
      <w:r w:rsidR="00CF1C6A" w:rsidRPr="00A3025D">
        <w:rPr>
          <w:rFonts w:ascii="Garamond" w:hAnsi="Garamond"/>
          <w:sz w:val="24"/>
          <w:szCs w:val="24"/>
        </w:rPr>
        <w:t xml:space="preserve">. del </w:t>
      </w:r>
      <w:r w:rsidR="00031612" w:rsidRPr="00A3025D">
        <w:rPr>
          <w:rFonts w:ascii="Garamond" w:hAnsi="Garamond"/>
          <w:sz w:val="24"/>
          <w:szCs w:val="24"/>
        </w:rPr>
        <w:t>06-02-2009</w:t>
      </w:r>
      <w:r w:rsidR="009031C2" w:rsidRPr="00A3025D">
        <w:rPr>
          <w:rFonts w:ascii="Garamond" w:hAnsi="Garamond"/>
          <w:sz w:val="24"/>
          <w:szCs w:val="24"/>
        </w:rPr>
        <w:t>).</w:t>
      </w:r>
    </w:p>
    <w:p w:rsidR="00E747BD" w:rsidRDefault="00E747BD" w:rsidP="009031C2">
      <w:pPr>
        <w:spacing w:line="360" w:lineRule="auto"/>
        <w:ind w:firstLine="360"/>
        <w:jc w:val="both"/>
        <w:rPr>
          <w:rFonts w:ascii="Garamond" w:hAnsi="Garamond"/>
          <w:sz w:val="24"/>
          <w:szCs w:val="24"/>
        </w:rPr>
      </w:pPr>
      <w:r w:rsidRPr="00A3025D">
        <w:rPr>
          <w:rFonts w:ascii="Garamond" w:hAnsi="Garamond"/>
          <w:sz w:val="24"/>
          <w:szCs w:val="24"/>
        </w:rPr>
        <w:t xml:space="preserve">En el presente caso, es claro que todos estos requisitos se encuentran cumplidos. En primer lugar, </w:t>
      </w:r>
      <w:r w:rsidR="0086074A" w:rsidRPr="00A3025D">
        <w:rPr>
          <w:rFonts w:ascii="Garamond" w:hAnsi="Garamond"/>
          <w:b/>
          <w:sz w:val="24"/>
          <w:szCs w:val="24"/>
        </w:rPr>
        <w:t>la probabilidad de que asista razón a ACIJ en su pretensión es altísima, puesto que el Poder Ejecutivo, de manera absolutamente notoria, ha incumplido con un deber constitucional y legal que no da lugar a dudas en su interpretación</w:t>
      </w:r>
      <w:r w:rsidR="0086074A" w:rsidRPr="00A3025D">
        <w:rPr>
          <w:rFonts w:ascii="Garamond" w:hAnsi="Garamond"/>
          <w:sz w:val="24"/>
          <w:szCs w:val="24"/>
        </w:rPr>
        <w:t xml:space="preserve">. </w:t>
      </w:r>
      <w:r w:rsidR="00EE7D44" w:rsidRPr="00A3025D">
        <w:rPr>
          <w:rFonts w:ascii="Garamond" w:hAnsi="Garamond"/>
          <w:sz w:val="24"/>
          <w:szCs w:val="24"/>
        </w:rPr>
        <w:t>Por lo demás, la</w:t>
      </w:r>
      <w:r w:rsidR="00F65D40" w:rsidRPr="00A3025D">
        <w:rPr>
          <w:rFonts w:ascii="Garamond" w:hAnsi="Garamond"/>
          <w:sz w:val="24"/>
          <w:szCs w:val="24"/>
        </w:rPr>
        <w:t xml:space="preserve"> prolongación de la demora reduci</w:t>
      </w:r>
      <w:r w:rsidR="00EE7D44" w:rsidRPr="00A3025D">
        <w:rPr>
          <w:rFonts w:ascii="Garamond" w:hAnsi="Garamond"/>
          <w:sz w:val="24"/>
          <w:szCs w:val="24"/>
        </w:rPr>
        <w:t>ría a la nada los derechos constitucionales antes mencionados</w:t>
      </w:r>
      <w:r w:rsidR="00F65D40" w:rsidRPr="00A3025D">
        <w:rPr>
          <w:rFonts w:ascii="Garamond" w:hAnsi="Garamond"/>
          <w:sz w:val="24"/>
          <w:szCs w:val="24"/>
        </w:rPr>
        <w:t>. Y</w:t>
      </w:r>
      <w:r w:rsidR="00EE7D44" w:rsidRPr="00A3025D">
        <w:rPr>
          <w:rFonts w:ascii="Garamond" w:hAnsi="Garamond"/>
          <w:sz w:val="24"/>
          <w:szCs w:val="24"/>
        </w:rPr>
        <w:t xml:space="preserve">, </w:t>
      </w:r>
      <w:r w:rsidR="00EE7D44" w:rsidRPr="00A3025D">
        <w:rPr>
          <w:rFonts w:ascii="Garamond" w:hAnsi="Garamond"/>
          <w:sz w:val="24"/>
          <w:szCs w:val="24"/>
        </w:rPr>
        <w:lastRenderedPageBreak/>
        <w:t xml:space="preserve">fundamentalmente, </w:t>
      </w:r>
      <w:r w:rsidR="005108BF" w:rsidRPr="00A3025D">
        <w:rPr>
          <w:rFonts w:ascii="Garamond" w:hAnsi="Garamond"/>
          <w:sz w:val="24"/>
          <w:szCs w:val="24"/>
        </w:rPr>
        <w:t>la tutela de estos derechos se agotaría en un solo despacho</w:t>
      </w:r>
      <w:r w:rsidR="00BF5FAA" w:rsidRPr="00A3025D">
        <w:rPr>
          <w:rFonts w:ascii="Garamond" w:hAnsi="Garamond"/>
          <w:sz w:val="24"/>
          <w:szCs w:val="24"/>
        </w:rPr>
        <w:t>,</w:t>
      </w:r>
      <w:r w:rsidR="005108BF" w:rsidRPr="00A3025D">
        <w:rPr>
          <w:rFonts w:ascii="Garamond" w:hAnsi="Garamond"/>
          <w:sz w:val="24"/>
          <w:szCs w:val="24"/>
        </w:rPr>
        <w:t xml:space="preserve"> sin necesidad de promover un proceso principal al que sea accesoria la medida aquí solicitada.</w:t>
      </w:r>
    </w:p>
    <w:p w:rsidR="00671862" w:rsidRPr="00A3025D" w:rsidRDefault="00671862" w:rsidP="009031C2">
      <w:pPr>
        <w:spacing w:line="360" w:lineRule="auto"/>
        <w:ind w:firstLine="360"/>
        <w:jc w:val="both"/>
        <w:rPr>
          <w:rFonts w:ascii="Garamond" w:hAnsi="Garamond"/>
          <w:sz w:val="24"/>
          <w:szCs w:val="24"/>
        </w:rPr>
      </w:pPr>
      <w:r>
        <w:rPr>
          <w:rFonts w:ascii="Garamond" w:hAnsi="Garamond"/>
          <w:sz w:val="24"/>
          <w:szCs w:val="24"/>
        </w:rPr>
        <w:t xml:space="preserve">Asimismo, y a mayor abundamiento, </w:t>
      </w:r>
      <w:r w:rsidR="00801AFB">
        <w:rPr>
          <w:rFonts w:ascii="Garamond" w:hAnsi="Garamond"/>
          <w:sz w:val="24"/>
          <w:szCs w:val="24"/>
        </w:rPr>
        <w:t xml:space="preserve">se configuran en el caso los recaudos </w:t>
      </w:r>
      <w:r w:rsidR="003020CD">
        <w:rPr>
          <w:rFonts w:ascii="Garamond" w:hAnsi="Garamond"/>
          <w:sz w:val="24"/>
          <w:szCs w:val="24"/>
        </w:rPr>
        <w:t xml:space="preserve">tradicionales </w:t>
      </w:r>
      <w:r w:rsidR="00801AFB">
        <w:rPr>
          <w:rFonts w:ascii="Garamond" w:hAnsi="Garamond"/>
          <w:sz w:val="24"/>
          <w:szCs w:val="24"/>
        </w:rPr>
        <w:t xml:space="preserve">de procedencia de las medidas cautelares; </w:t>
      </w:r>
      <w:r w:rsidR="00923AE1">
        <w:rPr>
          <w:rFonts w:ascii="Garamond" w:hAnsi="Garamond"/>
          <w:sz w:val="24"/>
          <w:szCs w:val="24"/>
        </w:rPr>
        <w:t xml:space="preserve">en primer término, el derecho que asiste ACIJ es verosímil (de hecho, es certero) en tanto las disposiciones legales y constitucionales afectadas son absolutamente claras en el mandato que imponen y el término que fijan para su cumplimiento, y es un hecho público y notorio que ese plazo no se ha respetado. En segundo lugar, </w:t>
      </w:r>
      <w:r w:rsidR="00E151CF">
        <w:rPr>
          <w:rFonts w:ascii="Garamond" w:hAnsi="Garamond"/>
          <w:sz w:val="24"/>
          <w:szCs w:val="24"/>
        </w:rPr>
        <w:t xml:space="preserve">existe un evidente peligro en la demora, porque si el Poder Ejecutivo no presenta de manera inmediata el proyecto de ley, los derechos de participar en el presupuesto y de acceder a la información presupuestaria se transformarían en ilusorios. Y es que la exhaustividad y complejidad de esa información exige, para que el ejercicio de los derechos </w:t>
      </w:r>
      <w:r w:rsidR="00221C7E">
        <w:rPr>
          <w:rFonts w:ascii="Garamond" w:hAnsi="Garamond"/>
          <w:sz w:val="24"/>
          <w:szCs w:val="24"/>
        </w:rPr>
        <w:t xml:space="preserve">sea real, un tiempo de análisis y evaluación que, de no existir, haría superflua la mera presencia de la información. Finalmente, por </w:t>
      </w:r>
      <w:r w:rsidR="0017486C">
        <w:rPr>
          <w:rFonts w:ascii="Garamond" w:hAnsi="Garamond"/>
          <w:sz w:val="24"/>
          <w:szCs w:val="24"/>
        </w:rPr>
        <w:t xml:space="preserve">el tipo de </w:t>
      </w:r>
      <w:r w:rsidR="00221C7E">
        <w:rPr>
          <w:rFonts w:ascii="Garamond" w:hAnsi="Garamond"/>
          <w:sz w:val="24"/>
          <w:szCs w:val="24"/>
        </w:rPr>
        <w:t xml:space="preserve">derechos </w:t>
      </w:r>
      <w:r w:rsidR="0017486C">
        <w:rPr>
          <w:rFonts w:ascii="Garamond" w:hAnsi="Garamond"/>
          <w:sz w:val="24"/>
          <w:szCs w:val="24"/>
        </w:rPr>
        <w:t xml:space="preserve">que se discuten </w:t>
      </w:r>
      <w:r w:rsidR="00221C7E">
        <w:rPr>
          <w:rFonts w:ascii="Garamond" w:hAnsi="Garamond"/>
          <w:sz w:val="24"/>
          <w:szCs w:val="24"/>
        </w:rPr>
        <w:t>correspondería eventualmente la fijación de una contra-cautelar juratoria, que se deja desde este momento prestada.</w:t>
      </w:r>
    </w:p>
    <w:p w:rsidR="00BE3623" w:rsidRPr="00BE3623" w:rsidRDefault="000B64B2" w:rsidP="001C3E7D">
      <w:pPr>
        <w:spacing w:line="360" w:lineRule="auto"/>
        <w:ind w:firstLine="360"/>
        <w:jc w:val="both"/>
        <w:rPr>
          <w:rFonts w:ascii="Garamond" w:hAnsi="Garamond"/>
          <w:sz w:val="24"/>
          <w:szCs w:val="24"/>
        </w:rPr>
      </w:pPr>
      <w:r w:rsidRPr="00A3025D">
        <w:rPr>
          <w:rFonts w:ascii="Garamond" w:hAnsi="Garamond"/>
          <w:sz w:val="24"/>
          <w:szCs w:val="24"/>
        </w:rPr>
        <w:t>Por lo demás, la procedencia de la medida se ve reforzada por el carácter de los derechos aquí involucrados, que se relacionan ontológicamente con los principios más básicos de la democracia y del Estado de Derecho.</w:t>
      </w:r>
    </w:p>
    <w:p w:rsidR="00446056" w:rsidRPr="00A3025D" w:rsidRDefault="004E7517" w:rsidP="00CB7177">
      <w:pPr>
        <w:pStyle w:val="Prrafodelista"/>
        <w:numPr>
          <w:ilvl w:val="0"/>
          <w:numId w:val="5"/>
        </w:numPr>
        <w:spacing w:line="360" w:lineRule="auto"/>
        <w:jc w:val="both"/>
        <w:rPr>
          <w:rFonts w:ascii="Garamond" w:hAnsi="Garamond"/>
          <w:b/>
          <w:sz w:val="24"/>
          <w:szCs w:val="24"/>
          <w:u w:val="single"/>
        </w:rPr>
      </w:pPr>
      <w:r w:rsidRPr="00A3025D">
        <w:rPr>
          <w:rFonts w:ascii="Garamond" w:hAnsi="Garamond"/>
          <w:b/>
          <w:sz w:val="24"/>
          <w:szCs w:val="24"/>
          <w:u w:val="single"/>
        </w:rPr>
        <w:t>El alcance de la medida que se solicita</w:t>
      </w:r>
      <w:r w:rsidR="002B3286" w:rsidRPr="00A3025D">
        <w:rPr>
          <w:rFonts w:ascii="Garamond" w:hAnsi="Garamond"/>
          <w:b/>
          <w:sz w:val="24"/>
          <w:szCs w:val="24"/>
          <w:u w:val="single"/>
        </w:rPr>
        <w:t xml:space="preserve"> </w:t>
      </w:r>
    </w:p>
    <w:p w:rsidR="00CB7177" w:rsidRPr="00BE3623" w:rsidRDefault="00CB7177" w:rsidP="007C57A6">
      <w:pPr>
        <w:spacing w:line="360" w:lineRule="auto"/>
        <w:ind w:firstLine="360"/>
        <w:jc w:val="both"/>
        <w:rPr>
          <w:rFonts w:ascii="Garamond" w:hAnsi="Garamond"/>
          <w:sz w:val="24"/>
          <w:szCs w:val="24"/>
        </w:rPr>
      </w:pPr>
      <w:r w:rsidRPr="00A3025D">
        <w:rPr>
          <w:rFonts w:ascii="Garamond" w:hAnsi="Garamond"/>
          <w:sz w:val="24"/>
          <w:szCs w:val="24"/>
        </w:rPr>
        <w:t xml:space="preserve">Como se anticipó en el apartado I de este escrito, esta medida busca que se ordene al Poder Ejecutivo la inmediata presentación a la Legislatura del proyecto de ley de presupuesto para el </w:t>
      </w:r>
      <w:r w:rsidR="00BF5FAA" w:rsidRPr="00A3025D">
        <w:rPr>
          <w:rFonts w:ascii="Garamond" w:hAnsi="Garamond"/>
          <w:sz w:val="24"/>
          <w:szCs w:val="24"/>
        </w:rPr>
        <w:t xml:space="preserve">año </w:t>
      </w:r>
      <w:r w:rsidRPr="00A3025D">
        <w:rPr>
          <w:rFonts w:ascii="Garamond" w:hAnsi="Garamond"/>
          <w:sz w:val="24"/>
          <w:szCs w:val="24"/>
        </w:rPr>
        <w:t>2016.</w:t>
      </w:r>
      <w:r w:rsidR="007C57A6" w:rsidRPr="00A3025D">
        <w:rPr>
          <w:rFonts w:ascii="Garamond" w:hAnsi="Garamond"/>
          <w:sz w:val="24"/>
          <w:szCs w:val="24"/>
        </w:rPr>
        <w:t xml:space="preserve"> </w:t>
      </w:r>
      <w:r w:rsidR="00AE360E" w:rsidRPr="00A3025D">
        <w:rPr>
          <w:rFonts w:ascii="Garamond" w:hAnsi="Garamond"/>
          <w:sz w:val="24"/>
          <w:szCs w:val="24"/>
        </w:rPr>
        <w:t xml:space="preserve">Debe señalarse que, para que la medida logre remediar efectivamente los derechos aquí afectados, la presentación del Ejecutivo debe ser completa, en el sentido de incluir todos los elementos que componen y complementan a una ley de presupuesto, como anexos, </w:t>
      </w:r>
      <w:r w:rsidRPr="00A3025D">
        <w:rPr>
          <w:rFonts w:ascii="Garamond" w:hAnsi="Garamond"/>
          <w:sz w:val="24"/>
          <w:szCs w:val="24"/>
        </w:rPr>
        <w:t xml:space="preserve">planillas </w:t>
      </w:r>
      <w:r w:rsidR="00AE360E" w:rsidRPr="00A3025D">
        <w:rPr>
          <w:rFonts w:ascii="Garamond" w:hAnsi="Garamond"/>
          <w:sz w:val="24"/>
          <w:szCs w:val="24"/>
        </w:rPr>
        <w:t xml:space="preserve">y </w:t>
      </w:r>
      <w:r w:rsidRPr="00A3025D">
        <w:rPr>
          <w:rFonts w:ascii="Garamond" w:hAnsi="Garamond"/>
          <w:sz w:val="24"/>
          <w:szCs w:val="24"/>
        </w:rPr>
        <w:t>fu</w:t>
      </w:r>
      <w:r w:rsidR="00AE360E" w:rsidRPr="00A3025D">
        <w:rPr>
          <w:rFonts w:ascii="Garamond" w:hAnsi="Garamond"/>
          <w:sz w:val="24"/>
          <w:szCs w:val="24"/>
        </w:rPr>
        <w:t>ndamentos</w:t>
      </w:r>
      <w:r w:rsidR="00BE3623">
        <w:rPr>
          <w:rFonts w:ascii="Garamond" w:hAnsi="Garamond"/>
          <w:sz w:val="24"/>
          <w:szCs w:val="24"/>
        </w:rPr>
        <w:t>, establecidos en la Ley 70 y su reglamentación</w:t>
      </w:r>
      <w:r w:rsidRPr="00BE3623">
        <w:rPr>
          <w:rFonts w:ascii="Garamond" w:hAnsi="Garamond"/>
          <w:sz w:val="24"/>
          <w:szCs w:val="24"/>
        </w:rPr>
        <w:t>.</w:t>
      </w:r>
      <w:r w:rsidR="007C57A6" w:rsidRPr="00BE3623">
        <w:rPr>
          <w:rFonts w:ascii="Garamond" w:hAnsi="Garamond"/>
          <w:sz w:val="24"/>
          <w:szCs w:val="24"/>
        </w:rPr>
        <w:t xml:space="preserve"> De lo contrario, la información y participación serían ilusorias.</w:t>
      </w:r>
    </w:p>
    <w:p w:rsidR="00CB7177" w:rsidRPr="00A3025D" w:rsidRDefault="007C57A6" w:rsidP="00775702">
      <w:pPr>
        <w:spacing w:line="360" w:lineRule="auto"/>
        <w:ind w:firstLine="360"/>
        <w:jc w:val="both"/>
        <w:rPr>
          <w:rFonts w:ascii="Garamond" w:hAnsi="Garamond"/>
          <w:sz w:val="24"/>
          <w:szCs w:val="24"/>
        </w:rPr>
      </w:pPr>
      <w:r w:rsidRPr="00A3025D">
        <w:rPr>
          <w:rFonts w:ascii="Garamond" w:hAnsi="Garamond"/>
          <w:sz w:val="24"/>
          <w:szCs w:val="24"/>
        </w:rPr>
        <w:t xml:space="preserve">Asimismo, para el improbable caso de que al momento de </w:t>
      </w:r>
      <w:r w:rsidR="00CB7177" w:rsidRPr="00A3025D">
        <w:rPr>
          <w:rFonts w:ascii="Garamond" w:hAnsi="Garamond"/>
          <w:sz w:val="24"/>
          <w:szCs w:val="24"/>
        </w:rPr>
        <w:t xml:space="preserve">resolución de la </w:t>
      </w:r>
      <w:r w:rsidRPr="00A3025D">
        <w:rPr>
          <w:rFonts w:ascii="Garamond" w:hAnsi="Garamond"/>
          <w:sz w:val="24"/>
          <w:szCs w:val="24"/>
        </w:rPr>
        <w:t>medida el</w:t>
      </w:r>
      <w:r w:rsidR="00CB7177" w:rsidRPr="00A3025D">
        <w:rPr>
          <w:rFonts w:ascii="Garamond" w:hAnsi="Garamond"/>
          <w:sz w:val="24"/>
          <w:szCs w:val="24"/>
        </w:rPr>
        <w:t xml:space="preserve"> pro</w:t>
      </w:r>
      <w:r w:rsidRPr="00A3025D">
        <w:rPr>
          <w:rFonts w:ascii="Garamond" w:hAnsi="Garamond"/>
          <w:sz w:val="24"/>
          <w:szCs w:val="24"/>
        </w:rPr>
        <w:t xml:space="preserve">yecto </w:t>
      </w:r>
      <w:r w:rsidR="00CB7177" w:rsidRPr="00A3025D">
        <w:rPr>
          <w:rFonts w:ascii="Garamond" w:hAnsi="Garamond"/>
          <w:sz w:val="24"/>
          <w:szCs w:val="24"/>
        </w:rPr>
        <w:t xml:space="preserve"> haya sido presentado</w:t>
      </w:r>
      <w:r w:rsidRPr="00A3025D">
        <w:rPr>
          <w:rFonts w:ascii="Garamond" w:hAnsi="Garamond"/>
          <w:sz w:val="24"/>
          <w:szCs w:val="24"/>
        </w:rPr>
        <w:t xml:space="preserve"> con ese alcance</w:t>
      </w:r>
      <w:r w:rsidR="001E1A49">
        <w:rPr>
          <w:rFonts w:ascii="Garamond" w:hAnsi="Garamond"/>
          <w:sz w:val="24"/>
          <w:szCs w:val="24"/>
        </w:rPr>
        <w:t xml:space="preserve"> (es decir, en su totalidad)</w:t>
      </w:r>
      <w:r w:rsidRPr="001E1A49">
        <w:rPr>
          <w:rFonts w:ascii="Garamond" w:hAnsi="Garamond"/>
          <w:sz w:val="24"/>
          <w:szCs w:val="24"/>
        </w:rPr>
        <w:t xml:space="preserve">, </w:t>
      </w:r>
      <w:r w:rsidR="009B6EFD" w:rsidRPr="001E1A49">
        <w:rPr>
          <w:rFonts w:ascii="Garamond" w:hAnsi="Garamond"/>
          <w:sz w:val="24"/>
          <w:szCs w:val="24"/>
        </w:rPr>
        <w:t>se solicitó</w:t>
      </w:r>
      <w:r w:rsidRPr="001E1A49">
        <w:rPr>
          <w:rFonts w:ascii="Garamond" w:hAnsi="Garamond"/>
          <w:sz w:val="24"/>
          <w:szCs w:val="24"/>
        </w:rPr>
        <w:t xml:space="preserve"> a</w:t>
      </w:r>
      <w:r w:rsidR="009B6EFD" w:rsidRPr="001E1A49">
        <w:rPr>
          <w:rFonts w:ascii="Garamond" w:hAnsi="Garamond"/>
          <w:sz w:val="24"/>
          <w:szCs w:val="24"/>
        </w:rPr>
        <w:t>l Tribunal declarara</w:t>
      </w:r>
      <w:r w:rsidR="00CB7177" w:rsidRPr="001E1A49">
        <w:rPr>
          <w:rFonts w:ascii="Garamond" w:hAnsi="Garamond"/>
          <w:sz w:val="24"/>
          <w:szCs w:val="24"/>
        </w:rPr>
        <w:t xml:space="preserve"> que el Poder Ejecutivo ha violado sus deberes constitucionales </w:t>
      </w:r>
      <w:r w:rsidRPr="001E1A49">
        <w:rPr>
          <w:rFonts w:ascii="Garamond" w:hAnsi="Garamond"/>
          <w:sz w:val="24"/>
          <w:szCs w:val="24"/>
        </w:rPr>
        <w:t xml:space="preserve">y que lo </w:t>
      </w:r>
      <w:r w:rsidR="009B6EFD" w:rsidRPr="001E1A49">
        <w:rPr>
          <w:rFonts w:ascii="Garamond" w:hAnsi="Garamond"/>
          <w:sz w:val="24"/>
          <w:szCs w:val="24"/>
        </w:rPr>
        <w:t>exhortara</w:t>
      </w:r>
      <w:r w:rsidR="00CB7177" w:rsidRPr="001E1A49">
        <w:rPr>
          <w:rFonts w:ascii="Garamond" w:hAnsi="Garamond"/>
          <w:sz w:val="24"/>
          <w:szCs w:val="24"/>
        </w:rPr>
        <w:t xml:space="preserve"> a respetar su</w:t>
      </w:r>
      <w:r w:rsidRPr="001E1A49">
        <w:rPr>
          <w:rFonts w:ascii="Garamond" w:hAnsi="Garamond"/>
          <w:sz w:val="24"/>
          <w:szCs w:val="24"/>
        </w:rPr>
        <w:t xml:space="preserve">s </w:t>
      </w:r>
      <w:r w:rsidRPr="001E1A49">
        <w:rPr>
          <w:rFonts w:ascii="Garamond" w:hAnsi="Garamond"/>
          <w:sz w:val="24"/>
          <w:szCs w:val="24"/>
        </w:rPr>
        <w:lastRenderedPageBreak/>
        <w:t>obligaciones en el futuro.</w:t>
      </w:r>
      <w:r w:rsidR="00F11C16" w:rsidRPr="001E1A49">
        <w:rPr>
          <w:rFonts w:ascii="Garamond" w:hAnsi="Garamond"/>
          <w:sz w:val="24"/>
          <w:szCs w:val="24"/>
        </w:rPr>
        <w:t xml:space="preserve"> Ello, en virtud de la idea sostenida por nuestra Corte Suprema que indica que</w:t>
      </w:r>
      <w:r w:rsidR="00F0321D" w:rsidRPr="00A3025D">
        <w:rPr>
          <w:rFonts w:ascii="Garamond" w:hAnsi="Garamond"/>
          <w:sz w:val="24"/>
          <w:szCs w:val="24"/>
        </w:rPr>
        <w:t xml:space="preserve"> en situaciones que tienen un rápido desenlace, puede ser difícil </w:t>
      </w:r>
      <w:r w:rsidR="00F11C16" w:rsidRPr="00A3025D">
        <w:rPr>
          <w:rFonts w:ascii="Garamond" w:hAnsi="Garamond"/>
          <w:sz w:val="24"/>
          <w:szCs w:val="24"/>
        </w:rPr>
        <w:t xml:space="preserve"> “</w:t>
      </w:r>
      <w:r w:rsidR="00F0321D" w:rsidRPr="00A3025D">
        <w:rPr>
          <w:rFonts w:ascii="Garamond" w:hAnsi="Garamond"/>
          <w:sz w:val="24"/>
          <w:szCs w:val="24"/>
        </w:rPr>
        <w:t>…</w:t>
      </w:r>
      <w:r w:rsidR="00F11C16" w:rsidRPr="00A3025D">
        <w:rPr>
          <w:rFonts w:ascii="Garamond" w:hAnsi="Garamond"/>
          <w:sz w:val="24"/>
          <w:szCs w:val="24"/>
        </w:rPr>
        <w:t>que, en la práctica, lleguen a estudio del Tribunal las importantes cuestiones constitucionales que éstas conllevan sin haberse vuelto abstractas. De ahí que, para remediar esta situación frustratoria del rol que debe poseer todo Tribunal al que se le ha encomendado la función de garante supremo de los derechos humanos, corresponde establecer que resultan justiciables aquellos casos susceptibles de repetición, pero que escaparían a su revisión por circunstancias an</w:t>
      </w:r>
      <w:r w:rsidR="00F0321D" w:rsidRPr="00A3025D">
        <w:rPr>
          <w:rFonts w:ascii="Garamond" w:hAnsi="Garamond"/>
          <w:sz w:val="24"/>
          <w:szCs w:val="24"/>
        </w:rPr>
        <w:t>álogas a las antes mencionadas” (</w:t>
      </w:r>
      <w:r w:rsidR="00775702" w:rsidRPr="00A3025D">
        <w:rPr>
          <w:rFonts w:ascii="Garamond" w:hAnsi="Garamond"/>
          <w:sz w:val="24"/>
          <w:szCs w:val="24"/>
        </w:rPr>
        <w:t xml:space="preserve">CSJN, F. 259. XLVI. “F., A. L. s/medida </w:t>
      </w:r>
      <w:proofErr w:type="spellStart"/>
      <w:r w:rsidR="00775702" w:rsidRPr="00A3025D">
        <w:rPr>
          <w:rFonts w:ascii="Garamond" w:hAnsi="Garamond"/>
          <w:sz w:val="24"/>
          <w:szCs w:val="24"/>
        </w:rPr>
        <w:t>autosatisfactiva</w:t>
      </w:r>
      <w:proofErr w:type="spellEnd"/>
      <w:r w:rsidR="00775702" w:rsidRPr="00A3025D">
        <w:rPr>
          <w:rFonts w:ascii="Garamond" w:hAnsi="Garamond"/>
          <w:sz w:val="24"/>
          <w:szCs w:val="24"/>
        </w:rPr>
        <w:t>”, entre muchos otros).</w:t>
      </w:r>
    </w:p>
    <w:p w:rsidR="00735882" w:rsidRPr="00A3025D" w:rsidRDefault="00735882" w:rsidP="007537E9">
      <w:pPr>
        <w:pStyle w:val="Prrafodelista"/>
        <w:numPr>
          <w:ilvl w:val="0"/>
          <w:numId w:val="5"/>
        </w:numPr>
        <w:spacing w:line="360" w:lineRule="auto"/>
        <w:jc w:val="both"/>
        <w:rPr>
          <w:rFonts w:ascii="Garamond" w:hAnsi="Garamond"/>
          <w:b/>
          <w:sz w:val="24"/>
          <w:szCs w:val="24"/>
          <w:u w:val="single"/>
        </w:rPr>
      </w:pPr>
      <w:bookmarkStart w:id="0" w:name="_GoBack"/>
      <w:bookmarkEnd w:id="0"/>
      <w:r w:rsidRPr="00A3025D">
        <w:rPr>
          <w:rFonts w:ascii="Garamond" w:hAnsi="Garamond"/>
          <w:b/>
          <w:sz w:val="24"/>
          <w:szCs w:val="24"/>
          <w:u w:val="single"/>
        </w:rPr>
        <w:t xml:space="preserve">Habilitación de días y horas </w:t>
      </w:r>
    </w:p>
    <w:p w:rsidR="001E1A49" w:rsidRPr="001E1A49" w:rsidRDefault="008F22EC" w:rsidP="001C3E7D">
      <w:pPr>
        <w:spacing w:line="360" w:lineRule="auto"/>
        <w:ind w:firstLine="360"/>
        <w:jc w:val="both"/>
        <w:rPr>
          <w:rFonts w:ascii="Garamond" w:hAnsi="Garamond"/>
          <w:sz w:val="24"/>
          <w:szCs w:val="24"/>
          <w:lang w:val="es-ES"/>
        </w:rPr>
      </w:pPr>
      <w:r w:rsidRPr="00A3025D">
        <w:rPr>
          <w:rFonts w:ascii="Garamond" w:hAnsi="Garamond"/>
          <w:sz w:val="24"/>
          <w:szCs w:val="24"/>
        </w:rPr>
        <w:t xml:space="preserve">Solicito al Tribunal que, en los términos del artículo 135 del Código contencioso administrativo y tributario, </w:t>
      </w:r>
      <w:r w:rsidRPr="00A3025D">
        <w:rPr>
          <w:rFonts w:ascii="Garamond" w:hAnsi="Garamond"/>
          <w:sz w:val="24"/>
          <w:szCs w:val="24"/>
          <w:lang w:val="es-ES"/>
        </w:rPr>
        <w:t>habilite días y horas para la realización de todas las diligencias de este proceso y la resolución de esta medida. Ello en tanto la tutela de los derechos afectados solo tendría sentido si se atendiera de manera urgente, puesto que la demora en la presentación del proyecto de ley es, preci</w:t>
      </w:r>
      <w:r w:rsidR="00FC3EC8" w:rsidRPr="00A3025D">
        <w:rPr>
          <w:rFonts w:ascii="Garamond" w:hAnsi="Garamond"/>
          <w:sz w:val="24"/>
          <w:szCs w:val="24"/>
          <w:lang w:val="es-ES"/>
        </w:rPr>
        <w:t>samente lo que agravia a ACIJ, y no decidir esta petición en los siguientes días inhábiles desnaturalizar</w:t>
      </w:r>
      <w:r w:rsidR="009B7D56" w:rsidRPr="00A3025D">
        <w:rPr>
          <w:rFonts w:ascii="Garamond" w:hAnsi="Garamond"/>
          <w:sz w:val="24"/>
          <w:szCs w:val="24"/>
          <w:lang w:val="es-ES"/>
        </w:rPr>
        <w:t>ía</w:t>
      </w:r>
      <w:r w:rsidR="00FC3EC8" w:rsidRPr="00A3025D">
        <w:rPr>
          <w:rFonts w:ascii="Garamond" w:hAnsi="Garamond"/>
          <w:sz w:val="24"/>
          <w:szCs w:val="24"/>
          <w:lang w:val="es-ES"/>
        </w:rPr>
        <w:t xml:space="preserve"> el objeto de esta medida.</w:t>
      </w:r>
    </w:p>
    <w:p w:rsidR="007D5CC2" w:rsidRPr="00A3025D" w:rsidRDefault="007D5CC2" w:rsidP="007537E9">
      <w:pPr>
        <w:pStyle w:val="Prrafodelista"/>
        <w:numPr>
          <w:ilvl w:val="0"/>
          <w:numId w:val="5"/>
        </w:numPr>
        <w:spacing w:line="360" w:lineRule="auto"/>
        <w:jc w:val="both"/>
        <w:rPr>
          <w:rFonts w:ascii="Garamond" w:hAnsi="Garamond"/>
          <w:b/>
          <w:sz w:val="24"/>
          <w:szCs w:val="24"/>
          <w:u w:val="single"/>
        </w:rPr>
      </w:pPr>
      <w:r w:rsidRPr="00A3025D">
        <w:rPr>
          <w:rFonts w:ascii="Garamond" w:hAnsi="Garamond"/>
          <w:b/>
          <w:sz w:val="24"/>
          <w:szCs w:val="24"/>
          <w:u w:val="single"/>
        </w:rPr>
        <w:t>Prueba</w:t>
      </w:r>
    </w:p>
    <w:p w:rsidR="00CD31A9" w:rsidRPr="00A3025D" w:rsidRDefault="00CD31A9" w:rsidP="00CD31A9">
      <w:pPr>
        <w:spacing w:line="360" w:lineRule="auto"/>
        <w:jc w:val="both"/>
        <w:rPr>
          <w:rFonts w:ascii="Garamond" w:hAnsi="Garamond"/>
          <w:sz w:val="24"/>
          <w:szCs w:val="24"/>
        </w:rPr>
      </w:pPr>
      <w:r w:rsidRPr="00A3025D">
        <w:rPr>
          <w:rFonts w:ascii="Garamond" w:hAnsi="Garamond"/>
          <w:sz w:val="24"/>
          <w:szCs w:val="24"/>
        </w:rPr>
        <w:t>Acompaño a este escrito la siguiente prueba documental:</w:t>
      </w:r>
    </w:p>
    <w:p w:rsidR="00CD31A9" w:rsidRPr="00A3025D" w:rsidRDefault="00EC0355" w:rsidP="00CD31A9">
      <w:pPr>
        <w:pStyle w:val="Prrafodelista"/>
        <w:numPr>
          <w:ilvl w:val="0"/>
          <w:numId w:val="7"/>
        </w:numPr>
        <w:spacing w:line="360" w:lineRule="auto"/>
        <w:jc w:val="both"/>
        <w:rPr>
          <w:rFonts w:ascii="Garamond" w:hAnsi="Garamond"/>
          <w:sz w:val="24"/>
          <w:szCs w:val="24"/>
        </w:rPr>
      </w:pPr>
      <w:r w:rsidRPr="00A3025D">
        <w:rPr>
          <w:rFonts w:ascii="Garamond" w:hAnsi="Garamond"/>
          <w:sz w:val="24"/>
          <w:szCs w:val="24"/>
        </w:rPr>
        <w:t>c</w:t>
      </w:r>
      <w:r w:rsidR="00CD31A9" w:rsidRPr="00A3025D">
        <w:rPr>
          <w:rFonts w:ascii="Garamond" w:hAnsi="Garamond"/>
          <w:sz w:val="24"/>
          <w:szCs w:val="24"/>
        </w:rPr>
        <w:t>opia del Estatuto de la organización y de la Resolución que la autoriza a funcionar como persona jurídica</w:t>
      </w:r>
      <w:r w:rsidRPr="00A3025D">
        <w:rPr>
          <w:rFonts w:ascii="Garamond" w:hAnsi="Garamond"/>
          <w:sz w:val="24"/>
          <w:szCs w:val="24"/>
        </w:rPr>
        <w:t>;</w:t>
      </w:r>
    </w:p>
    <w:p w:rsidR="00CD31A9" w:rsidRPr="00A3025D" w:rsidRDefault="00EC0355" w:rsidP="00CD31A9">
      <w:pPr>
        <w:pStyle w:val="Prrafodelista"/>
        <w:numPr>
          <w:ilvl w:val="0"/>
          <w:numId w:val="7"/>
        </w:numPr>
        <w:spacing w:line="360" w:lineRule="auto"/>
        <w:jc w:val="both"/>
        <w:rPr>
          <w:rFonts w:ascii="Garamond" w:hAnsi="Garamond"/>
          <w:sz w:val="24"/>
          <w:szCs w:val="24"/>
        </w:rPr>
      </w:pPr>
      <w:r w:rsidRPr="00A3025D">
        <w:rPr>
          <w:rFonts w:ascii="Garamond" w:hAnsi="Garamond"/>
          <w:sz w:val="24"/>
          <w:szCs w:val="24"/>
        </w:rPr>
        <w:t>c</w:t>
      </w:r>
      <w:r w:rsidR="00CD31A9" w:rsidRPr="00A3025D">
        <w:rPr>
          <w:rFonts w:ascii="Garamond" w:hAnsi="Garamond"/>
          <w:sz w:val="24"/>
          <w:szCs w:val="24"/>
        </w:rPr>
        <w:t>opia de poder general para juicios</w:t>
      </w:r>
      <w:r w:rsidRPr="00A3025D">
        <w:rPr>
          <w:rFonts w:ascii="Garamond" w:hAnsi="Garamond"/>
          <w:sz w:val="24"/>
          <w:szCs w:val="24"/>
        </w:rPr>
        <w:t>;</w:t>
      </w:r>
    </w:p>
    <w:p w:rsidR="00CD31A9" w:rsidRPr="00A3025D" w:rsidRDefault="00EC0355" w:rsidP="00CD31A9">
      <w:pPr>
        <w:pStyle w:val="Prrafodelista"/>
        <w:numPr>
          <w:ilvl w:val="0"/>
          <w:numId w:val="7"/>
        </w:numPr>
        <w:spacing w:line="360" w:lineRule="auto"/>
        <w:jc w:val="both"/>
        <w:rPr>
          <w:rFonts w:ascii="Garamond" w:hAnsi="Garamond"/>
          <w:sz w:val="24"/>
          <w:szCs w:val="24"/>
        </w:rPr>
      </w:pPr>
      <w:r w:rsidRPr="00A3025D">
        <w:rPr>
          <w:rFonts w:ascii="Garamond" w:hAnsi="Garamond"/>
          <w:sz w:val="24"/>
          <w:szCs w:val="24"/>
        </w:rPr>
        <w:t>i</w:t>
      </w:r>
      <w:r w:rsidR="00CD31A9" w:rsidRPr="00A3025D">
        <w:rPr>
          <w:rFonts w:ascii="Garamond" w:hAnsi="Garamond"/>
          <w:sz w:val="24"/>
          <w:szCs w:val="24"/>
        </w:rPr>
        <w:t>mpresiones de pantallas del sitio oficial de la Legislatura de la Ciudad</w:t>
      </w:r>
      <w:r w:rsidRPr="00A3025D">
        <w:rPr>
          <w:rFonts w:ascii="Garamond" w:hAnsi="Garamond"/>
          <w:sz w:val="24"/>
          <w:szCs w:val="24"/>
        </w:rPr>
        <w:t>;</w:t>
      </w:r>
    </w:p>
    <w:p w:rsidR="00446056" w:rsidRDefault="00EC0355" w:rsidP="00CD31A9">
      <w:pPr>
        <w:pStyle w:val="Prrafodelista"/>
        <w:numPr>
          <w:ilvl w:val="0"/>
          <w:numId w:val="7"/>
        </w:numPr>
        <w:spacing w:line="360" w:lineRule="auto"/>
        <w:jc w:val="both"/>
        <w:rPr>
          <w:rFonts w:ascii="Garamond" w:hAnsi="Garamond"/>
          <w:sz w:val="24"/>
          <w:szCs w:val="24"/>
        </w:rPr>
      </w:pPr>
      <w:r w:rsidRPr="00A3025D">
        <w:rPr>
          <w:rFonts w:ascii="Garamond" w:hAnsi="Garamond"/>
          <w:sz w:val="24"/>
          <w:szCs w:val="24"/>
        </w:rPr>
        <w:t>i</w:t>
      </w:r>
      <w:r w:rsidR="00446056" w:rsidRPr="00A3025D">
        <w:rPr>
          <w:rFonts w:ascii="Garamond" w:hAnsi="Garamond"/>
          <w:sz w:val="24"/>
          <w:szCs w:val="24"/>
        </w:rPr>
        <w:t>nformes realizados por ACIJ</w:t>
      </w:r>
      <w:r w:rsidRPr="00A3025D">
        <w:rPr>
          <w:rFonts w:ascii="Garamond" w:hAnsi="Garamond"/>
          <w:sz w:val="24"/>
          <w:szCs w:val="24"/>
        </w:rPr>
        <w:t>.</w:t>
      </w:r>
    </w:p>
    <w:p w:rsidR="001E1A49" w:rsidRPr="001E1A49" w:rsidRDefault="001E1A49" w:rsidP="006F6C7C">
      <w:pPr>
        <w:pStyle w:val="Prrafodelista"/>
        <w:spacing w:line="360" w:lineRule="auto"/>
        <w:jc w:val="both"/>
        <w:rPr>
          <w:rFonts w:ascii="Garamond" w:hAnsi="Garamond"/>
          <w:sz w:val="24"/>
          <w:szCs w:val="24"/>
        </w:rPr>
      </w:pPr>
    </w:p>
    <w:p w:rsidR="008D1731" w:rsidRPr="001E1A49" w:rsidRDefault="00C624D8" w:rsidP="008D1731">
      <w:pPr>
        <w:pStyle w:val="Prrafodelista"/>
        <w:numPr>
          <w:ilvl w:val="0"/>
          <w:numId w:val="9"/>
        </w:numPr>
        <w:spacing w:line="360" w:lineRule="auto"/>
        <w:jc w:val="both"/>
        <w:rPr>
          <w:rFonts w:ascii="Garamond" w:hAnsi="Garamond"/>
          <w:b/>
          <w:sz w:val="24"/>
          <w:szCs w:val="24"/>
          <w:u w:val="single"/>
        </w:rPr>
      </w:pPr>
      <w:r w:rsidRPr="001E1A49">
        <w:rPr>
          <w:rFonts w:ascii="Garamond" w:hAnsi="Garamond"/>
          <w:b/>
          <w:sz w:val="24"/>
          <w:szCs w:val="24"/>
          <w:u w:val="single"/>
        </w:rPr>
        <w:t>Autorizaciones</w:t>
      </w:r>
    </w:p>
    <w:p w:rsidR="001E1A49" w:rsidRPr="001E1A49" w:rsidRDefault="008D1731" w:rsidP="001C3E7D">
      <w:pPr>
        <w:spacing w:line="360" w:lineRule="auto"/>
        <w:ind w:firstLine="567"/>
        <w:jc w:val="both"/>
        <w:rPr>
          <w:rFonts w:ascii="Garamond" w:hAnsi="Garamond" w:cs="Times New Roman"/>
          <w:sz w:val="24"/>
          <w:szCs w:val="24"/>
        </w:rPr>
      </w:pPr>
      <w:r w:rsidRPr="00A3025D">
        <w:rPr>
          <w:rFonts w:ascii="Garamond" w:hAnsi="Garamond" w:cs="Times New Roman"/>
          <w:sz w:val="24"/>
          <w:szCs w:val="24"/>
        </w:rPr>
        <w:t xml:space="preserve">Solicito se autorice a Silvana </w:t>
      </w:r>
      <w:proofErr w:type="spellStart"/>
      <w:r w:rsidRPr="00A3025D">
        <w:rPr>
          <w:rFonts w:ascii="Garamond" w:hAnsi="Garamond" w:cs="Times New Roman"/>
          <w:sz w:val="24"/>
          <w:szCs w:val="24"/>
        </w:rPr>
        <w:t>Emilce</w:t>
      </w:r>
      <w:proofErr w:type="spellEnd"/>
      <w:r w:rsidRPr="00A3025D">
        <w:rPr>
          <w:rFonts w:ascii="Garamond" w:hAnsi="Garamond" w:cs="Times New Roman"/>
          <w:sz w:val="24"/>
          <w:szCs w:val="24"/>
        </w:rPr>
        <w:t xml:space="preserve"> Lourdes </w:t>
      </w:r>
      <w:proofErr w:type="spellStart"/>
      <w:r w:rsidRPr="00A3025D">
        <w:rPr>
          <w:rFonts w:ascii="Garamond" w:hAnsi="Garamond" w:cs="Times New Roman"/>
          <w:sz w:val="24"/>
          <w:szCs w:val="24"/>
        </w:rPr>
        <w:t>Cuppari</w:t>
      </w:r>
      <w:proofErr w:type="spellEnd"/>
      <w:r w:rsidRPr="00A3025D">
        <w:rPr>
          <w:rFonts w:ascii="Garamond" w:hAnsi="Garamond" w:cs="Times New Roman"/>
          <w:sz w:val="24"/>
          <w:szCs w:val="24"/>
        </w:rPr>
        <w:t xml:space="preserve">, María Emilia </w:t>
      </w:r>
      <w:proofErr w:type="spellStart"/>
      <w:r w:rsidRPr="00A3025D">
        <w:rPr>
          <w:rFonts w:ascii="Garamond" w:hAnsi="Garamond" w:cs="Times New Roman"/>
          <w:sz w:val="24"/>
          <w:szCs w:val="24"/>
        </w:rPr>
        <w:t>Mamberti</w:t>
      </w:r>
      <w:proofErr w:type="spellEnd"/>
      <w:r w:rsidRPr="00A3025D">
        <w:rPr>
          <w:rFonts w:ascii="Garamond" w:hAnsi="Garamond" w:cs="Times New Roman"/>
          <w:sz w:val="24"/>
          <w:szCs w:val="24"/>
        </w:rPr>
        <w:t xml:space="preserve">, Luciana Morón y/o Brenda </w:t>
      </w:r>
      <w:proofErr w:type="spellStart"/>
      <w:r w:rsidRPr="00A3025D">
        <w:rPr>
          <w:rFonts w:ascii="Garamond" w:hAnsi="Garamond" w:cs="Times New Roman"/>
          <w:sz w:val="24"/>
          <w:szCs w:val="24"/>
        </w:rPr>
        <w:t>Zaidman</w:t>
      </w:r>
      <w:proofErr w:type="spellEnd"/>
      <w:r w:rsidRPr="00A3025D">
        <w:rPr>
          <w:rFonts w:ascii="Garamond" w:hAnsi="Garamond" w:cs="Times New Roman"/>
          <w:sz w:val="24"/>
          <w:szCs w:val="24"/>
        </w:rPr>
        <w:t xml:space="preserve"> a realizar los siguientes actos: 1) consultar el expediente o retirarlo en préstamo; 2) diligenciar oficios, mandamientos y cédulas; 3) retirar certificados, testimonios o </w:t>
      </w:r>
      <w:r w:rsidRPr="00A3025D">
        <w:rPr>
          <w:rFonts w:ascii="Garamond" w:hAnsi="Garamond" w:cs="Times New Roman"/>
          <w:sz w:val="24"/>
          <w:szCs w:val="24"/>
        </w:rPr>
        <w:lastRenderedPageBreak/>
        <w:t>copias de escritos, documentación o resoluciones; 4) extraer fotocopias, y 5) cumplir cualquier otro trámite necesario para impulsar las presentes actuaciones.</w:t>
      </w:r>
    </w:p>
    <w:p w:rsidR="00D21239" w:rsidRPr="00A3025D" w:rsidRDefault="00D21239" w:rsidP="002D1004">
      <w:pPr>
        <w:pStyle w:val="Prrafodelista"/>
        <w:numPr>
          <w:ilvl w:val="0"/>
          <w:numId w:val="9"/>
        </w:numPr>
        <w:spacing w:line="360" w:lineRule="auto"/>
        <w:jc w:val="both"/>
        <w:rPr>
          <w:rFonts w:ascii="Garamond" w:hAnsi="Garamond"/>
          <w:b/>
          <w:sz w:val="24"/>
          <w:szCs w:val="24"/>
          <w:u w:val="single"/>
        </w:rPr>
      </w:pPr>
      <w:r w:rsidRPr="001E1A49">
        <w:rPr>
          <w:rFonts w:ascii="Garamond" w:hAnsi="Garamond"/>
          <w:b/>
          <w:sz w:val="24"/>
          <w:szCs w:val="24"/>
          <w:u w:val="single"/>
        </w:rPr>
        <w:t>Reserva del caso federal</w:t>
      </w:r>
    </w:p>
    <w:p w:rsidR="00904B7C" w:rsidRPr="00A3025D" w:rsidRDefault="00904B7C" w:rsidP="00904B7C">
      <w:pPr>
        <w:spacing w:after="100" w:afterAutospacing="1" w:line="360" w:lineRule="auto"/>
        <w:ind w:firstLine="567"/>
        <w:jc w:val="both"/>
        <w:rPr>
          <w:rFonts w:ascii="Garamond" w:hAnsi="Garamond" w:cs="Times New Roman"/>
          <w:sz w:val="24"/>
          <w:szCs w:val="24"/>
        </w:rPr>
      </w:pPr>
      <w:r w:rsidRPr="00A3025D">
        <w:rPr>
          <w:rFonts w:ascii="Garamond" w:hAnsi="Garamond" w:cs="Times New Roman"/>
          <w:sz w:val="24"/>
          <w:szCs w:val="24"/>
        </w:rPr>
        <w:t>Para el caso de que se rechazara la medida solicitada</w:t>
      </w:r>
      <w:r w:rsidR="00726485" w:rsidRPr="00A3025D">
        <w:rPr>
          <w:rFonts w:ascii="Garamond" w:hAnsi="Garamond" w:cs="Times New Roman"/>
          <w:sz w:val="24"/>
          <w:szCs w:val="24"/>
        </w:rPr>
        <w:t xml:space="preserve">, formulo </w:t>
      </w:r>
      <w:r w:rsidRPr="00A3025D">
        <w:rPr>
          <w:rFonts w:ascii="Garamond" w:hAnsi="Garamond" w:cs="Times New Roman"/>
          <w:sz w:val="24"/>
          <w:szCs w:val="24"/>
        </w:rPr>
        <w:t>reserva de interponer oportunamente el recurso extraordinario federal</w:t>
      </w:r>
      <w:r w:rsidR="00726485" w:rsidRPr="00A3025D">
        <w:rPr>
          <w:rFonts w:ascii="Garamond" w:hAnsi="Garamond" w:cs="Times New Roman"/>
          <w:sz w:val="24"/>
          <w:szCs w:val="24"/>
        </w:rPr>
        <w:t xml:space="preserve"> previsto en el artículo</w:t>
      </w:r>
      <w:r w:rsidRPr="00A3025D">
        <w:rPr>
          <w:rFonts w:ascii="Garamond" w:hAnsi="Garamond" w:cs="Times New Roman"/>
          <w:sz w:val="24"/>
          <w:szCs w:val="24"/>
        </w:rPr>
        <w:t xml:space="preserve"> 14 de la Ley 48 ante la Corte Suprema de Justicia de la Nación. Considero para ello que </w:t>
      </w:r>
      <w:r w:rsidR="00726485" w:rsidRPr="00A3025D">
        <w:rPr>
          <w:rFonts w:ascii="Garamond" w:hAnsi="Garamond" w:cs="Times New Roman"/>
          <w:sz w:val="24"/>
          <w:szCs w:val="24"/>
        </w:rPr>
        <w:t>ese</w:t>
      </w:r>
      <w:r w:rsidRPr="00A3025D">
        <w:rPr>
          <w:rFonts w:ascii="Garamond" w:hAnsi="Garamond" w:cs="Times New Roman"/>
          <w:sz w:val="24"/>
          <w:szCs w:val="24"/>
        </w:rPr>
        <w:t xml:space="preserve"> recurso extraordinario tiende a asegurar la primacía de la Constitución Nacional y normas y disposiciones federales mediante el contralor</w:t>
      </w:r>
      <w:r w:rsidR="00726485" w:rsidRPr="00A3025D">
        <w:rPr>
          <w:rFonts w:ascii="Garamond" w:hAnsi="Garamond" w:cs="Times New Roman"/>
          <w:sz w:val="24"/>
          <w:szCs w:val="24"/>
        </w:rPr>
        <w:t xml:space="preserve"> judicial de constitucionalidad, </w:t>
      </w:r>
      <w:r w:rsidRPr="00A3025D">
        <w:rPr>
          <w:rFonts w:ascii="Garamond" w:hAnsi="Garamond" w:cs="Times New Roman"/>
          <w:sz w:val="24"/>
          <w:szCs w:val="24"/>
        </w:rPr>
        <w:t xml:space="preserve">por </w:t>
      </w:r>
      <w:r w:rsidR="00726485" w:rsidRPr="00A3025D">
        <w:rPr>
          <w:rFonts w:ascii="Garamond" w:hAnsi="Garamond" w:cs="Times New Roman"/>
          <w:sz w:val="24"/>
          <w:szCs w:val="24"/>
        </w:rPr>
        <w:t>l</w:t>
      </w:r>
      <w:r w:rsidRPr="00A3025D">
        <w:rPr>
          <w:rFonts w:ascii="Garamond" w:hAnsi="Garamond" w:cs="Times New Roman"/>
          <w:sz w:val="24"/>
          <w:szCs w:val="24"/>
        </w:rPr>
        <w:t>a calidad de la Corte Suprema de intérprete final de ese ordenamiento superior (Fallos 1:340; 162:154, entre muchos otros). En el caso, se encuentran en juego las disposiciones de los artículos 1, 18, 33 y 75 inciso 22 de la Constitución Nacional por lo que, en caso de decidirse de manera definitiva en contra de estos, quedaría habilitado el referido recurso extraordinario.</w:t>
      </w:r>
    </w:p>
    <w:p w:rsidR="007D5CC2" w:rsidRPr="00A3025D" w:rsidRDefault="00790E06" w:rsidP="002D1004">
      <w:pPr>
        <w:pStyle w:val="Prrafodelista"/>
        <w:numPr>
          <w:ilvl w:val="0"/>
          <w:numId w:val="9"/>
        </w:numPr>
        <w:spacing w:line="360" w:lineRule="auto"/>
        <w:jc w:val="both"/>
        <w:rPr>
          <w:rFonts w:ascii="Garamond" w:hAnsi="Garamond"/>
          <w:b/>
          <w:sz w:val="24"/>
          <w:szCs w:val="24"/>
          <w:u w:val="single"/>
        </w:rPr>
      </w:pPr>
      <w:r w:rsidRPr="00A3025D">
        <w:rPr>
          <w:rFonts w:ascii="Garamond" w:hAnsi="Garamond"/>
          <w:b/>
          <w:sz w:val="24"/>
          <w:szCs w:val="24"/>
          <w:u w:val="single"/>
        </w:rPr>
        <w:t>Petitor</w:t>
      </w:r>
      <w:r w:rsidR="007D5CC2" w:rsidRPr="00A3025D">
        <w:rPr>
          <w:rFonts w:ascii="Garamond" w:hAnsi="Garamond"/>
          <w:b/>
          <w:sz w:val="24"/>
          <w:szCs w:val="24"/>
          <w:u w:val="single"/>
        </w:rPr>
        <w:t>io</w:t>
      </w:r>
    </w:p>
    <w:p w:rsidR="00F374C4" w:rsidRPr="00A3025D" w:rsidRDefault="00B44727" w:rsidP="00361804">
      <w:pPr>
        <w:spacing w:line="360" w:lineRule="auto"/>
        <w:jc w:val="both"/>
        <w:rPr>
          <w:rFonts w:ascii="Garamond" w:hAnsi="Garamond"/>
          <w:sz w:val="24"/>
          <w:szCs w:val="24"/>
        </w:rPr>
      </w:pPr>
      <w:r w:rsidRPr="00A3025D">
        <w:rPr>
          <w:rFonts w:ascii="Garamond" w:hAnsi="Garamond"/>
          <w:sz w:val="24"/>
          <w:szCs w:val="24"/>
        </w:rPr>
        <w:t>Por las razones</w:t>
      </w:r>
      <w:r w:rsidR="003562A0" w:rsidRPr="00A3025D">
        <w:rPr>
          <w:rFonts w:ascii="Garamond" w:hAnsi="Garamond"/>
          <w:sz w:val="24"/>
          <w:szCs w:val="24"/>
        </w:rPr>
        <w:t xml:space="preserve"> expuestas solicito al Tribunal que:</w:t>
      </w:r>
    </w:p>
    <w:p w:rsidR="00B44727" w:rsidRPr="00A3025D" w:rsidRDefault="00B44727" w:rsidP="00B44727">
      <w:pPr>
        <w:pStyle w:val="Prrafodelista"/>
        <w:numPr>
          <w:ilvl w:val="0"/>
          <w:numId w:val="6"/>
        </w:numPr>
        <w:spacing w:line="360" w:lineRule="auto"/>
        <w:jc w:val="both"/>
        <w:rPr>
          <w:rFonts w:ascii="Garamond" w:hAnsi="Garamond"/>
          <w:sz w:val="24"/>
          <w:szCs w:val="24"/>
        </w:rPr>
      </w:pPr>
      <w:r w:rsidRPr="00A3025D">
        <w:rPr>
          <w:rFonts w:ascii="Garamond" w:hAnsi="Garamond"/>
          <w:sz w:val="24"/>
          <w:szCs w:val="24"/>
        </w:rPr>
        <w:t>tenga</w:t>
      </w:r>
      <w:r w:rsidR="00C624D8" w:rsidRPr="00A3025D">
        <w:rPr>
          <w:rFonts w:ascii="Garamond" w:hAnsi="Garamond"/>
          <w:sz w:val="24"/>
          <w:szCs w:val="24"/>
        </w:rPr>
        <w:t xml:space="preserve"> por</w:t>
      </w:r>
      <w:r w:rsidRPr="00A3025D">
        <w:rPr>
          <w:rFonts w:ascii="Garamond" w:hAnsi="Garamond"/>
          <w:sz w:val="24"/>
          <w:szCs w:val="24"/>
        </w:rPr>
        <w:t xml:space="preserve"> presentada y parte a ACIJ, y por constituido el domicilio procesal</w:t>
      </w:r>
      <w:r w:rsidR="003562A0" w:rsidRPr="00A3025D">
        <w:rPr>
          <w:rFonts w:ascii="Garamond" w:hAnsi="Garamond"/>
          <w:sz w:val="24"/>
          <w:szCs w:val="24"/>
        </w:rPr>
        <w:t>;</w:t>
      </w:r>
    </w:p>
    <w:p w:rsidR="00D21239" w:rsidRPr="00A3025D" w:rsidRDefault="003562A0" w:rsidP="00B44727">
      <w:pPr>
        <w:pStyle w:val="Prrafodelista"/>
        <w:numPr>
          <w:ilvl w:val="0"/>
          <w:numId w:val="6"/>
        </w:numPr>
        <w:spacing w:line="360" w:lineRule="auto"/>
        <w:jc w:val="both"/>
        <w:rPr>
          <w:rFonts w:ascii="Garamond" w:hAnsi="Garamond"/>
          <w:sz w:val="24"/>
          <w:szCs w:val="24"/>
        </w:rPr>
      </w:pPr>
      <w:r w:rsidRPr="00A3025D">
        <w:rPr>
          <w:rFonts w:ascii="Garamond" w:hAnsi="Garamond"/>
          <w:sz w:val="24"/>
          <w:szCs w:val="24"/>
        </w:rPr>
        <w:t>d</w:t>
      </w:r>
      <w:r w:rsidR="00D21239" w:rsidRPr="00A3025D">
        <w:rPr>
          <w:rFonts w:ascii="Garamond" w:hAnsi="Garamond"/>
          <w:sz w:val="24"/>
          <w:szCs w:val="24"/>
        </w:rPr>
        <w:t>eclare procedente la habilitación de días y horas, y tenga presentes las autorizaciones efectuadas</w:t>
      </w:r>
      <w:r w:rsidRPr="00A3025D">
        <w:rPr>
          <w:rFonts w:ascii="Garamond" w:hAnsi="Garamond"/>
          <w:sz w:val="24"/>
          <w:szCs w:val="24"/>
        </w:rPr>
        <w:t>;</w:t>
      </w:r>
    </w:p>
    <w:p w:rsidR="00B44727" w:rsidRPr="00A3025D" w:rsidRDefault="003562A0" w:rsidP="00B44727">
      <w:pPr>
        <w:pStyle w:val="Prrafodelista"/>
        <w:numPr>
          <w:ilvl w:val="0"/>
          <w:numId w:val="6"/>
        </w:numPr>
        <w:spacing w:line="360" w:lineRule="auto"/>
        <w:jc w:val="both"/>
        <w:rPr>
          <w:rFonts w:ascii="Garamond" w:hAnsi="Garamond"/>
          <w:sz w:val="24"/>
          <w:szCs w:val="24"/>
        </w:rPr>
      </w:pPr>
      <w:r w:rsidRPr="00A3025D">
        <w:rPr>
          <w:rFonts w:ascii="Garamond" w:hAnsi="Garamond"/>
          <w:sz w:val="24"/>
          <w:szCs w:val="24"/>
        </w:rPr>
        <w:t>h</w:t>
      </w:r>
      <w:r w:rsidR="00C624D8" w:rsidRPr="00A3025D">
        <w:rPr>
          <w:rFonts w:ascii="Garamond" w:hAnsi="Garamond"/>
          <w:sz w:val="24"/>
          <w:szCs w:val="24"/>
        </w:rPr>
        <w:t xml:space="preserve">aga lugar, </w:t>
      </w:r>
      <w:r w:rsidRPr="00A3025D">
        <w:rPr>
          <w:rFonts w:ascii="Garamond" w:hAnsi="Garamond"/>
          <w:sz w:val="24"/>
          <w:szCs w:val="24"/>
        </w:rPr>
        <w:t>en el más breve plazo pos</w:t>
      </w:r>
      <w:r w:rsidR="00C624D8" w:rsidRPr="00A3025D">
        <w:rPr>
          <w:rFonts w:ascii="Garamond" w:hAnsi="Garamond"/>
          <w:sz w:val="24"/>
          <w:szCs w:val="24"/>
        </w:rPr>
        <w:t>ible</w:t>
      </w:r>
      <w:r w:rsidRPr="00A3025D">
        <w:rPr>
          <w:rFonts w:ascii="Garamond" w:hAnsi="Garamond"/>
          <w:sz w:val="24"/>
          <w:szCs w:val="24"/>
        </w:rPr>
        <w:t>, a la medida solicitada.</w:t>
      </w:r>
    </w:p>
    <w:p w:rsidR="00735882" w:rsidRPr="00A3025D" w:rsidRDefault="00051499" w:rsidP="00361804">
      <w:pPr>
        <w:spacing w:line="360" w:lineRule="auto"/>
        <w:jc w:val="both"/>
        <w:rPr>
          <w:rFonts w:ascii="Garamond" w:hAnsi="Garamond"/>
          <w:sz w:val="24"/>
          <w:szCs w:val="24"/>
        </w:rPr>
      </w:pPr>
      <w:r w:rsidRPr="00A3025D">
        <w:rPr>
          <w:rFonts w:ascii="Garamond" w:hAnsi="Garamond"/>
          <w:sz w:val="24"/>
          <w:szCs w:val="24"/>
        </w:rPr>
        <w:t>Proveer de conformidad, que ES JUSTICIA.-</w:t>
      </w:r>
    </w:p>
    <w:sectPr w:rsidR="00735882" w:rsidRPr="00A3025D" w:rsidSect="009D31F0">
      <w:pgSz w:w="12240" w:h="15840"/>
      <w:pgMar w:top="2016" w:right="1008" w:bottom="1411" w:left="201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otDefSpecia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555A"/>
    <w:multiLevelType w:val="hybridMultilevel"/>
    <w:tmpl w:val="33F812CC"/>
    <w:lvl w:ilvl="0" w:tplc="C13A72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F1963"/>
    <w:multiLevelType w:val="multilevel"/>
    <w:tmpl w:val="644E66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0A75DDB"/>
    <w:multiLevelType w:val="hybridMultilevel"/>
    <w:tmpl w:val="DE58574E"/>
    <w:lvl w:ilvl="0" w:tplc="C13A72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1E55D2"/>
    <w:multiLevelType w:val="hybridMultilevel"/>
    <w:tmpl w:val="78888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D20EEA"/>
    <w:multiLevelType w:val="hybridMultilevel"/>
    <w:tmpl w:val="195AE31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34E4403"/>
    <w:multiLevelType w:val="hybridMultilevel"/>
    <w:tmpl w:val="5D54DDA6"/>
    <w:lvl w:ilvl="0" w:tplc="1AAEEDCC">
      <w:start w:val="7"/>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E51430C"/>
    <w:multiLevelType w:val="hybridMultilevel"/>
    <w:tmpl w:val="C4BE51D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E682100"/>
    <w:multiLevelType w:val="hybridMultilevel"/>
    <w:tmpl w:val="1A489D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6123A47"/>
    <w:multiLevelType w:val="hybridMultilevel"/>
    <w:tmpl w:val="4BBCBDE0"/>
    <w:lvl w:ilvl="0" w:tplc="3D6837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383374"/>
    <w:multiLevelType w:val="hybridMultilevel"/>
    <w:tmpl w:val="86A60C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F154B8"/>
    <w:multiLevelType w:val="hybridMultilevel"/>
    <w:tmpl w:val="856E4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8"/>
  </w:num>
  <w:num w:numId="5">
    <w:abstractNumId w:val="0"/>
  </w:num>
  <w:num w:numId="6">
    <w:abstractNumId w:val="9"/>
  </w:num>
  <w:num w:numId="7">
    <w:abstractNumId w:val="10"/>
  </w:num>
  <w:num w:numId="8">
    <w:abstractNumId w:val="3"/>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7B"/>
    <w:rsid w:val="00002FBF"/>
    <w:rsid w:val="000158D9"/>
    <w:rsid w:val="0002779B"/>
    <w:rsid w:val="000301F5"/>
    <w:rsid w:val="00031612"/>
    <w:rsid w:val="00037537"/>
    <w:rsid w:val="00051499"/>
    <w:rsid w:val="00064552"/>
    <w:rsid w:val="0006689B"/>
    <w:rsid w:val="00067CE4"/>
    <w:rsid w:val="000712A0"/>
    <w:rsid w:val="00074DC8"/>
    <w:rsid w:val="00086744"/>
    <w:rsid w:val="000A4E99"/>
    <w:rsid w:val="000B0730"/>
    <w:rsid w:val="000B64B2"/>
    <w:rsid w:val="000C6DC6"/>
    <w:rsid w:val="0017486C"/>
    <w:rsid w:val="00190F79"/>
    <w:rsid w:val="001C3E7D"/>
    <w:rsid w:val="001C7C53"/>
    <w:rsid w:val="001E1A49"/>
    <w:rsid w:val="001F3778"/>
    <w:rsid w:val="00221C7E"/>
    <w:rsid w:val="00254DA4"/>
    <w:rsid w:val="00272BB2"/>
    <w:rsid w:val="00274D11"/>
    <w:rsid w:val="0029320C"/>
    <w:rsid w:val="002B1A4E"/>
    <w:rsid w:val="002B3286"/>
    <w:rsid w:val="002D1004"/>
    <w:rsid w:val="002D208F"/>
    <w:rsid w:val="002D6863"/>
    <w:rsid w:val="002E7E5B"/>
    <w:rsid w:val="003020CD"/>
    <w:rsid w:val="00311790"/>
    <w:rsid w:val="00314AFE"/>
    <w:rsid w:val="003562A0"/>
    <w:rsid w:val="0035649A"/>
    <w:rsid w:val="00361804"/>
    <w:rsid w:val="00363E25"/>
    <w:rsid w:val="003724AD"/>
    <w:rsid w:val="00384707"/>
    <w:rsid w:val="00393C9C"/>
    <w:rsid w:val="003B6AD9"/>
    <w:rsid w:val="003B75BD"/>
    <w:rsid w:val="003E2E89"/>
    <w:rsid w:val="004027CA"/>
    <w:rsid w:val="00406222"/>
    <w:rsid w:val="00417C5F"/>
    <w:rsid w:val="00426CCB"/>
    <w:rsid w:val="004419B4"/>
    <w:rsid w:val="00444649"/>
    <w:rsid w:val="00446056"/>
    <w:rsid w:val="004510CC"/>
    <w:rsid w:val="0045630A"/>
    <w:rsid w:val="00470E4E"/>
    <w:rsid w:val="004B6A74"/>
    <w:rsid w:val="004B6AFE"/>
    <w:rsid w:val="004D0742"/>
    <w:rsid w:val="004E7517"/>
    <w:rsid w:val="004F2188"/>
    <w:rsid w:val="005108BF"/>
    <w:rsid w:val="00555E53"/>
    <w:rsid w:val="005741A4"/>
    <w:rsid w:val="0059339D"/>
    <w:rsid w:val="00596CB1"/>
    <w:rsid w:val="005A5D91"/>
    <w:rsid w:val="005D26EF"/>
    <w:rsid w:val="005D72FD"/>
    <w:rsid w:val="005E44C7"/>
    <w:rsid w:val="005F3F0A"/>
    <w:rsid w:val="00600361"/>
    <w:rsid w:val="00601252"/>
    <w:rsid w:val="00602D7D"/>
    <w:rsid w:val="00616361"/>
    <w:rsid w:val="006573FC"/>
    <w:rsid w:val="00662D9C"/>
    <w:rsid w:val="00662DF4"/>
    <w:rsid w:val="0066397E"/>
    <w:rsid w:val="00671862"/>
    <w:rsid w:val="00691619"/>
    <w:rsid w:val="006A5B0C"/>
    <w:rsid w:val="006A6D7C"/>
    <w:rsid w:val="006C1BEF"/>
    <w:rsid w:val="006F6C7C"/>
    <w:rsid w:val="0070347F"/>
    <w:rsid w:val="0071334C"/>
    <w:rsid w:val="007145DE"/>
    <w:rsid w:val="00724362"/>
    <w:rsid w:val="00726485"/>
    <w:rsid w:val="0073422C"/>
    <w:rsid w:val="00735882"/>
    <w:rsid w:val="007537E9"/>
    <w:rsid w:val="00765163"/>
    <w:rsid w:val="00775702"/>
    <w:rsid w:val="00780806"/>
    <w:rsid w:val="00790E06"/>
    <w:rsid w:val="00796E8C"/>
    <w:rsid w:val="007975B5"/>
    <w:rsid w:val="00797E63"/>
    <w:rsid w:val="007B02DE"/>
    <w:rsid w:val="007C57A6"/>
    <w:rsid w:val="007D5CC2"/>
    <w:rsid w:val="007D724F"/>
    <w:rsid w:val="007F5F88"/>
    <w:rsid w:val="00801AFB"/>
    <w:rsid w:val="008254E0"/>
    <w:rsid w:val="0086074A"/>
    <w:rsid w:val="008646E5"/>
    <w:rsid w:val="008708C5"/>
    <w:rsid w:val="008A4B45"/>
    <w:rsid w:val="008B2A81"/>
    <w:rsid w:val="008C77AA"/>
    <w:rsid w:val="008D0EA5"/>
    <w:rsid w:val="008D158F"/>
    <w:rsid w:val="008D1731"/>
    <w:rsid w:val="008F22EC"/>
    <w:rsid w:val="009031C2"/>
    <w:rsid w:val="00904B7C"/>
    <w:rsid w:val="00923AE1"/>
    <w:rsid w:val="00945C8C"/>
    <w:rsid w:val="00951F5F"/>
    <w:rsid w:val="00963120"/>
    <w:rsid w:val="00974722"/>
    <w:rsid w:val="0097688B"/>
    <w:rsid w:val="009A0F5A"/>
    <w:rsid w:val="009A7E7C"/>
    <w:rsid w:val="009B6EFD"/>
    <w:rsid w:val="009B7D56"/>
    <w:rsid w:val="009D31F0"/>
    <w:rsid w:val="009F1042"/>
    <w:rsid w:val="00A00423"/>
    <w:rsid w:val="00A04D93"/>
    <w:rsid w:val="00A07920"/>
    <w:rsid w:val="00A12718"/>
    <w:rsid w:val="00A3025D"/>
    <w:rsid w:val="00A57F8F"/>
    <w:rsid w:val="00A7385A"/>
    <w:rsid w:val="00A81CB5"/>
    <w:rsid w:val="00A9483E"/>
    <w:rsid w:val="00AA107D"/>
    <w:rsid w:val="00AA1631"/>
    <w:rsid w:val="00AB3CE8"/>
    <w:rsid w:val="00AC0402"/>
    <w:rsid w:val="00AC38BE"/>
    <w:rsid w:val="00AD6BC5"/>
    <w:rsid w:val="00AE07B9"/>
    <w:rsid w:val="00AE1A1B"/>
    <w:rsid w:val="00AE360E"/>
    <w:rsid w:val="00AE5943"/>
    <w:rsid w:val="00AF73A6"/>
    <w:rsid w:val="00B01A94"/>
    <w:rsid w:val="00B03240"/>
    <w:rsid w:val="00B0483C"/>
    <w:rsid w:val="00B113D6"/>
    <w:rsid w:val="00B44727"/>
    <w:rsid w:val="00B510C6"/>
    <w:rsid w:val="00B5682C"/>
    <w:rsid w:val="00B7781E"/>
    <w:rsid w:val="00B9340D"/>
    <w:rsid w:val="00B95201"/>
    <w:rsid w:val="00B96588"/>
    <w:rsid w:val="00BA37CA"/>
    <w:rsid w:val="00BB5AD8"/>
    <w:rsid w:val="00BC0F2B"/>
    <w:rsid w:val="00BD3F55"/>
    <w:rsid w:val="00BE3623"/>
    <w:rsid w:val="00BF22E5"/>
    <w:rsid w:val="00BF5FAA"/>
    <w:rsid w:val="00C0559A"/>
    <w:rsid w:val="00C277B2"/>
    <w:rsid w:val="00C355C6"/>
    <w:rsid w:val="00C61B63"/>
    <w:rsid w:val="00C624D8"/>
    <w:rsid w:val="00C62A13"/>
    <w:rsid w:val="00C67BE2"/>
    <w:rsid w:val="00C72201"/>
    <w:rsid w:val="00C77BAE"/>
    <w:rsid w:val="00C87C55"/>
    <w:rsid w:val="00CA2295"/>
    <w:rsid w:val="00CB40DF"/>
    <w:rsid w:val="00CB7177"/>
    <w:rsid w:val="00CC123A"/>
    <w:rsid w:val="00CD31A9"/>
    <w:rsid w:val="00CE182F"/>
    <w:rsid w:val="00CE3153"/>
    <w:rsid w:val="00CF03B5"/>
    <w:rsid w:val="00CF1C6A"/>
    <w:rsid w:val="00D018CD"/>
    <w:rsid w:val="00D14B15"/>
    <w:rsid w:val="00D21239"/>
    <w:rsid w:val="00D26F78"/>
    <w:rsid w:val="00D3260D"/>
    <w:rsid w:val="00D40054"/>
    <w:rsid w:val="00D5694B"/>
    <w:rsid w:val="00D62EAA"/>
    <w:rsid w:val="00D7577E"/>
    <w:rsid w:val="00D84115"/>
    <w:rsid w:val="00DA7D46"/>
    <w:rsid w:val="00DC01A6"/>
    <w:rsid w:val="00DD0DC3"/>
    <w:rsid w:val="00DF29B5"/>
    <w:rsid w:val="00E07A8C"/>
    <w:rsid w:val="00E1150D"/>
    <w:rsid w:val="00E151CF"/>
    <w:rsid w:val="00E45F74"/>
    <w:rsid w:val="00E460CF"/>
    <w:rsid w:val="00E46754"/>
    <w:rsid w:val="00E56C08"/>
    <w:rsid w:val="00E6047A"/>
    <w:rsid w:val="00E719CF"/>
    <w:rsid w:val="00E7397E"/>
    <w:rsid w:val="00E747BD"/>
    <w:rsid w:val="00E81CD8"/>
    <w:rsid w:val="00E85479"/>
    <w:rsid w:val="00EB30F6"/>
    <w:rsid w:val="00EB5A65"/>
    <w:rsid w:val="00EC0355"/>
    <w:rsid w:val="00EE04D6"/>
    <w:rsid w:val="00EE7D44"/>
    <w:rsid w:val="00EF56B3"/>
    <w:rsid w:val="00F0321D"/>
    <w:rsid w:val="00F07353"/>
    <w:rsid w:val="00F11C16"/>
    <w:rsid w:val="00F22952"/>
    <w:rsid w:val="00F2440C"/>
    <w:rsid w:val="00F24C98"/>
    <w:rsid w:val="00F268DF"/>
    <w:rsid w:val="00F374C4"/>
    <w:rsid w:val="00F41BE2"/>
    <w:rsid w:val="00F542A5"/>
    <w:rsid w:val="00F65D40"/>
    <w:rsid w:val="00F83413"/>
    <w:rsid w:val="00F9658F"/>
    <w:rsid w:val="00FB3575"/>
    <w:rsid w:val="00FB4B0C"/>
    <w:rsid w:val="00FC1956"/>
    <w:rsid w:val="00FC3EC8"/>
    <w:rsid w:val="00FC4C02"/>
    <w:rsid w:val="00FD4D7B"/>
    <w:rsid w:val="00FD7F88"/>
    <w:rsid w:val="00FE1F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5882"/>
    <w:pPr>
      <w:ind w:left="720"/>
      <w:contextualSpacing/>
    </w:pPr>
  </w:style>
  <w:style w:type="paragraph" w:customStyle="1" w:styleId="Normal1">
    <w:name w:val="Normal1"/>
    <w:rsid w:val="004F2188"/>
    <w:pPr>
      <w:spacing w:after="0"/>
    </w:pPr>
    <w:rPr>
      <w:rFonts w:ascii="Arial" w:eastAsia="Arial" w:hAnsi="Arial" w:cs="Arial"/>
      <w:color w:val="000000"/>
      <w:lang w:val="es-ES" w:eastAsia="es-ES"/>
    </w:rPr>
  </w:style>
  <w:style w:type="character" w:styleId="Refdecomentario">
    <w:name w:val="annotation reference"/>
    <w:basedOn w:val="Fuentedeprrafopredeter"/>
    <w:uiPriority w:val="99"/>
    <w:semiHidden/>
    <w:unhideWhenUsed/>
    <w:rsid w:val="008708C5"/>
    <w:rPr>
      <w:sz w:val="16"/>
      <w:szCs w:val="16"/>
    </w:rPr>
  </w:style>
  <w:style w:type="paragraph" w:styleId="Textocomentario">
    <w:name w:val="annotation text"/>
    <w:basedOn w:val="Normal"/>
    <w:link w:val="TextocomentarioCar"/>
    <w:uiPriority w:val="99"/>
    <w:semiHidden/>
    <w:unhideWhenUsed/>
    <w:rsid w:val="008708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08C5"/>
    <w:rPr>
      <w:sz w:val="20"/>
      <w:szCs w:val="20"/>
    </w:rPr>
  </w:style>
  <w:style w:type="paragraph" w:styleId="Asuntodelcomentario">
    <w:name w:val="annotation subject"/>
    <w:basedOn w:val="Textocomentario"/>
    <w:next w:val="Textocomentario"/>
    <w:link w:val="AsuntodelcomentarioCar"/>
    <w:uiPriority w:val="99"/>
    <w:semiHidden/>
    <w:unhideWhenUsed/>
    <w:rsid w:val="008708C5"/>
    <w:rPr>
      <w:b/>
      <w:bCs/>
    </w:rPr>
  </w:style>
  <w:style w:type="character" w:customStyle="1" w:styleId="AsuntodelcomentarioCar">
    <w:name w:val="Asunto del comentario Car"/>
    <w:basedOn w:val="TextocomentarioCar"/>
    <w:link w:val="Asuntodelcomentario"/>
    <w:uiPriority w:val="99"/>
    <w:semiHidden/>
    <w:rsid w:val="008708C5"/>
    <w:rPr>
      <w:b/>
      <w:bCs/>
      <w:sz w:val="20"/>
      <w:szCs w:val="20"/>
    </w:rPr>
  </w:style>
  <w:style w:type="paragraph" w:styleId="Textodeglobo">
    <w:name w:val="Balloon Text"/>
    <w:basedOn w:val="Normal"/>
    <w:link w:val="TextodegloboCar"/>
    <w:uiPriority w:val="99"/>
    <w:semiHidden/>
    <w:unhideWhenUsed/>
    <w:rsid w:val="008708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8C5"/>
    <w:rPr>
      <w:rFonts w:ascii="Tahoma" w:hAnsi="Tahoma" w:cs="Tahoma"/>
      <w:sz w:val="16"/>
      <w:szCs w:val="16"/>
    </w:rPr>
  </w:style>
  <w:style w:type="paragraph" w:styleId="NormalWeb">
    <w:name w:val="Normal (Web)"/>
    <w:basedOn w:val="Normal"/>
    <w:uiPriority w:val="99"/>
    <w:semiHidden/>
    <w:unhideWhenUsed/>
    <w:rsid w:val="008708C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8B2A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5882"/>
    <w:pPr>
      <w:ind w:left="720"/>
      <w:contextualSpacing/>
    </w:pPr>
  </w:style>
  <w:style w:type="paragraph" w:customStyle="1" w:styleId="Normal1">
    <w:name w:val="Normal1"/>
    <w:rsid w:val="004F2188"/>
    <w:pPr>
      <w:spacing w:after="0"/>
    </w:pPr>
    <w:rPr>
      <w:rFonts w:ascii="Arial" w:eastAsia="Arial" w:hAnsi="Arial" w:cs="Arial"/>
      <w:color w:val="000000"/>
      <w:lang w:val="es-ES" w:eastAsia="es-ES"/>
    </w:rPr>
  </w:style>
  <w:style w:type="character" w:styleId="Refdecomentario">
    <w:name w:val="annotation reference"/>
    <w:basedOn w:val="Fuentedeprrafopredeter"/>
    <w:uiPriority w:val="99"/>
    <w:semiHidden/>
    <w:unhideWhenUsed/>
    <w:rsid w:val="008708C5"/>
    <w:rPr>
      <w:sz w:val="16"/>
      <w:szCs w:val="16"/>
    </w:rPr>
  </w:style>
  <w:style w:type="paragraph" w:styleId="Textocomentario">
    <w:name w:val="annotation text"/>
    <w:basedOn w:val="Normal"/>
    <w:link w:val="TextocomentarioCar"/>
    <w:uiPriority w:val="99"/>
    <w:semiHidden/>
    <w:unhideWhenUsed/>
    <w:rsid w:val="008708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08C5"/>
    <w:rPr>
      <w:sz w:val="20"/>
      <w:szCs w:val="20"/>
    </w:rPr>
  </w:style>
  <w:style w:type="paragraph" w:styleId="Asuntodelcomentario">
    <w:name w:val="annotation subject"/>
    <w:basedOn w:val="Textocomentario"/>
    <w:next w:val="Textocomentario"/>
    <w:link w:val="AsuntodelcomentarioCar"/>
    <w:uiPriority w:val="99"/>
    <w:semiHidden/>
    <w:unhideWhenUsed/>
    <w:rsid w:val="008708C5"/>
    <w:rPr>
      <w:b/>
      <w:bCs/>
    </w:rPr>
  </w:style>
  <w:style w:type="character" w:customStyle="1" w:styleId="AsuntodelcomentarioCar">
    <w:name w:val="Asunto del comentario Car"/>
    <w:basedOn w:val="TextocomentarioCar"/>
    <w:link w:val="Asuntodelcomentario"/>
    <w:uiPriority w:val="99"/>
    <w:semiHidden/>
    <w:rsid w:val="008708C5"/>
    <w:rPr>
      <w:b/>
      <w:bCs/>
      <w:sz w:val="20"/>
      <w:szCs w:val="20"/>
    </w:rPr>
  </w:style>
  <w:style w:type="paragraph" w:styleId="Textodeglobo">
    <w:name w:val="Balloon Text"/>
    <w:basedOn w:val="Normal"/>
    <w:link w:val="TextodegloboCar"/>
    <w:uiPriority w:val="99"/>
    <w:semiHidden/>
    <w:unhideWhenUsed/>
    <w:rsid w:val="008708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8C5"/>
    <w:rPr>
      <w:rFonts w:ascii="Tahoma" w:hAnsi="Tahoma" w:cs="Tahoma"/>
      <w:sz w:val="16"/>
      <w:szCs w:val="16"/>
    </w:rPr>
  </w:style>
  <w:style w:type="paragraph" w:styleId="NormalWeb">
    <w:name w:val="Normal (Web)"/>
    <w:basedOn w:val="Normal"/>
    <w:uiPriority w:val="99"/>
    <w:semiHidden/>
    <w:unhideWhenUsed/>
    <w:rsid w:val="008708C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8B2A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7233">
      <w:bodyDiv w:val="1"/>
      <w:marLeft w:val="0"/>
      <w:marRight w:val="0"/>
      <w:marTop w:val="0"/>
      <w:marBottom w:val="0"/>
      <w:divBdr>
        <w:top w:val="none" w:sz="0" w:space="0" w:color="auto"/>
        <w:left w:val="none" w:sz="0" w:space="0" w:color="auto"/>
        <w:bottom w:val="none" w:sz="0" w:space="0" w:color="auto"/>
        <w:right w:val="none" w:sz="0" w:space="0" w:color="auto"/>
      </w:divBdr>
    </w:div>
    <w:div w:id="127940336">
      <w:bodyDiv w:val="1"/>
      <w:marLeft w:val="0"/>
      <w:marRight w:val="0"/>
      <w:marTop w:val="0"/>
      <w:marBottom w:val="0"/>
      <w:divBdr>
        <w:top w:val="none" w:sz="0" w:space="0" w:color="auto"/>
        <w:left w:val="none" w:sz="0" w:space="0" w:color="auto"/>
        <w:bottom w:val="none" w:sz="0" w:space="0" w:color="auto"/>
        <w:right w:val="none" w:sz="0" w:space="0" w:color="auto"/>
      </w:divBdr>
    </w:div>
    <w:div w:id="689457933">
      <w:bodyDiv w:val="1"/>
      <w:marLeft w:val="0"/>
      <w:marRight w:val="0"/>
      <w:marTop w:val="0"/>
      <w:marBottom w:val="0"/>
      <w:divBdr>
        <w:top w:val="none" w:sz="0" w:space="0" w:color="auto"/>
        <w:left w:val="none" w:sz="0" w:space="0" w:color="auto"/>
        <w:bottom w:val="none" w:sz="0" w:space="0" w:color="auto"/>
        <w:right w:val="none" w:sz="0" w:space="0" w:color="auto"/>
      </w:divBdr>
    </w:div>
    <w:div w:id="749470063">
      <w:bodyDiv w:val="1"/>
      <w:marLeft w:val="0"/>
      <w:marRight w:val="0"/>
      <w:marTop w:val="0"/>
      <w:marBottom w:val="0"/>
      <w:divBdr>
        <w:top w:val="none" w:sz="0" w:space="0" w:color="auto"/>
        <w:left w:val="none" w:sz="0" w:space="0" w:color="auto"/>
        <w:bottom w:val="none" w:sz="0" w:space="0" w:color="auto"/>
        <w:right w:val="none" w:sz="0" w:space="0" w:color="auto"/>
      </w:divBdr>
    </w:div>
    <w:div w:id="792359269">
      <w:bodyDiv w:val="1"/>
      <w:marLeft w:val="0"/>
      <w:marRight w:val="0"/>
      <w:marTop w:val="0"/>
      <w:marBottom w:val="0"/>
      <w:divBdr>
        <w:top w:val="none" w:sz="0" w:space="0" w:color="auto"/>
        <w:left w:val="none" w:sz="0" w:space="0" w:color="auto"/>
        <w:bottom w:val="none" w:sz="0" w:space="0" w:color="auto"/>
        <w:right w:val="none" w:sz="0" w:space="0" w:color="auto"/>
      </w:divBdr>
    </w:div>
    <w:div w:id="931205667">
      <w:bodyDiv w:val="1"/>
      <w:marLeft w:val="0"/>
      <w:marRight w:val="0"/>
      <w:marTop w:val="0"/>
      <w:marBottom w:val="0"/>
      <w:divBdr>
        <w:top w:val="none" w:sz="0" w:space="0" w:color="auto"/>
        <w:left w:val="none" w:sz="0" w:space="0" w:color="auto"/>
        <w:bottom w:val="none" w:sz="0" w:space="0" w:color="auto"/>
        <w:right w:val="none" w:sz="0" w:space="0" w:color="auto"/>
      </w:divBdr>
    </w:div>
    <w:div w:id="1340964223">
      <w:bodyDiv w:val="1"/>
      <w:marLeft w:val="0"/>
      <w:marRight w:val="0"/>
      <w:marTop w:val="0"/>
      <w:marBottom w:val="0"/>
      <w:divBdr>
        <w:top w:val="none" w:sz="0" w:space="0" w:color="auto"/>
        <w:left w:val="none" w:sz="0" w:space="0" w:color="auto"/>
        <w:bottom w:val="none" w:sz="0" w:space="0" w:color="auto"/>
        <w:right w:val="none" w:sz="0" w:space="0" w:color="auto"/>
      </w:divBdr>
    </w:div>
    <w:div w:id="1354070499">
      <w:bodyDiv w:val="1"/>
      <w:marLeft w:val="0"/>
      <w:marRight w:val="0"/>
      <w:marTop w:val="0"/>
      <w:marBottom w:val="0"/>
      <w:divBdr>
        <w:top w:val="none" w:sz="0" w:space="0" w:color="auto"/>
        <w:left w:val="none" w:sz="0" w:space="0" w:color="auto"/>
        <w:bottom w:val="none" w:sz="0" w:space="0" w:color="auto"/>
        <w:right w:val="none" w:sz="0" w:space="0" w:color="auto"/>
      </w:divBdr>
    </w:div>
    <w:div w:id="1358848033">
      <w:bodyDiv w:val="1"/>
      <w:marLeft w:val="0"/>
      <w:marRight w:val="0"/>
      <w:marTop w:val="0"/>
      <w:marBottom w:val="0"/>
      <w:divBdr>
        <w:top w:val="none" w:sz="0" w:space="0" w:color="auto"/>
        <w:left w:val="none" w:sz="0" w:space="0" w:color="auto"/>
        <w:bottom w:val="none" w:sz="0" w:space="0" w:color="auto"/>
        <w:right w:val="none" w:sz="0" w:space="0" w:color="auto"/>
      </w:divBdr>
    </w:div>
    <w:div w:id="1495074871">
      <w:bodyDiv w:val="1"/>
      <w:marLeft w:val="0"/>
      <w:marRight w:val="0"/>
      <w:marTop w:val="0"/>
      <w:marBottom w:val="0"/>
      <w:divBdr>
        <w:top w:val="none" w:sz="0" w:space="0" w:color="auto"/>
        <w:left w:val="none" w:sz="0" w:space="0" w:color="auto"/>
        <w:bottom w:val="none" w:sz="0" w:space="0" w:color="auto"/>
        <w:right w:val="none" w:sz="0" w:space="0" w:color="auto"/>
      </w:divBdr>
      <w:divsChild>
        <w:div w:id="2113931907">
          <w:marLeft w:val="0"/>
          <w:marRight w:val="0"/>
          <w:marTop w:val="0"/>
          <w:marBottom w:val="0"/>
          <w:divBdr>
            <w:top w:val="none" w:sz="0" w:space="0" w:color="auto"/>
            <w:left w:val="none" w:sz="0" w:space="0" w:color="auto"/>
            <w:bottom w:val="none" w:sz="0" w:space="0" w:color="auto"/>
            <w:right w:val="none" w:sz="0" w:space="0" w:color="auto"/>
          </w:divBdr>
        </w:div>
        <w:div w:id="1353847805">
          <w:marLeft w:val="0"/>
          <w:marRight w:val="0"/>
          <w:marTop w:val="0"/>
          <w:marBottom w:val="0"/>
          <w:divBdr>
            <w:top w:val="none" w:sz="0" w:space="0" w:color="auto"/>
            <w:left w:val="none" w:sz="0" w:space="0" w:color="auto"/>
            <w:bottom w:val="none" w:sz="0" w:space="0" w:color="auto"/>
            <w:right w:val="none" w:sz="0" w:space="0" w:color="auto"/>
          </w:divBdr>
        </w:div>
        <w:div w:id="1781876293">
          <w:marLeft w:val="0"/>
          <w:marRight w:val="0"/>
          <w:marTop w:val="0"/>
          <w:marBottom w:val="0"/>
          <w:divBdr>
            <w:top w:val="none" w:sz="0" w:space="0" w:color="auto"/>
            <w:left w:val="none" w:sz="0" w:space="0" w:color="auto"/>
            <w:bottom w:val="none" w:sz="0" w:space="0" w:color="auto"/>
            <w:right w:val="none" w:sz="0" w:space="0" w:color="auto"/>
          </w:divBdr>
        </w:div>
        <w:div w:id="1655596665">
          <w:marLeft w:val="0"/>
          <w:marRight w:val="0"/>
          <w:marTop w:val="0"/>
          <w:marBottom w:val="0"/>
          <w:divBdr>
            <w:top w:val="none" w:sz="0" w:space="0" w:color="auto"/>
            <w:left w:val="none" w:sz="0" w:space="0" w:color="auto"/>
            <w:bottom w:val="none" w:sz="0" w:space="0" w:color="auto"/>
            <w:right w:val="none" w:sz="0" w:space="0" w:color="auto"/>
          </w:divBdr>
        </w:div>
        <w:div w:id="1741512428">
          <w:marLeft w:val="0"/>
          <w:marRight w:val="0"/>
          <w:marTop w:val="0"/>
          <w:marBottom w:val="0"/>
          <w:divBdr>
            <w:top w:val="none" w:sz="0" w:space="0" w:color="auto"/>
            <w:left w:val="none" w:sz="0" w:space="0" w:color="auto"/>
            <w:bottom w:val="none" w:sz="0" w:space="0" w:color="auto"/>
            <w:right w:val="none" w:sz="0" w:space="0" w:color="auto"/>
          </w:divBdr>
        </w:div>
        <w:div w:id="737673348">
          <w:marLeft w:val="0"/>
          <w:marRight w:val="0"/>
          <w:marTop w:val="0"/>
          <w:marBottom w:val="0"/>
          <w:divBdr>
            <w:top w:val="none" w:sz="0" w:space="0" w:color="auto"/>
            <w:left w:val="none" w:sz="0" w:space="0" w:color="auto"/>
            <w:bottom w:val="none" w:sz="0" w:space="0" w:color="auto"/>
            <w:right w:val="none" w:sz="0" w:space="0" w:color="auto"/>
          </w:divBdr>
        </w:div>
        <w:div w:id="1244141185">
          <w:marLeft w:val="0"/>
          <w:marRight w:val="0"/>
          <w:marTop w:val="0"/>
          <w:marBottom w:val="0"/>
          <w:divBdr>
            <w:top w:val="none" w:sz="0" w:space="0" w:color="auto"/>
            <w:left w:val="none" w:sz="0" w:space="0" w:color="auto"/>
            <w:bottom w:val="none" w:sz="0" w:space="0" w:color="auto"/>
            <w:right w:val="none" w:sz="0" w:space="0" w:color="auto"/>
          </w:divBdr>
        </w:div>
      </w:divsChild>
    </w:div>
    <w:div w:id="2033333021">
      <w:bodyDiv w:val="1"/>
      <w:marLeft w:val="0"/>
      <w:marRight w:val="0"/>
      <w:marTop w:val="0"/>
      <w:marBottom w:val="0"/>
      <w:divBdr>
        <w:top w:val="none" w:sz="0" w:space="0" w:color="auto"/>
        <w:left w:val="none" w:sz="0" w:space="0" w:color="auto"/>
        <w:bottom w:val="none" w:sz="0" w:space="0" w:color="auto"/>
        <w:right w:val="none" w:sz="0" w:space="0" w:color="auto"/>
      </w:divBdr>
      <w:divsChild>
        <w:div w:id="470288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avin@acij.org.ar" TargetMode="External"/><Relationship Id="rId3" Type="http://schemas.openxmlformats.org/officeDocument/2006/relationships/styles" Target="styles.xml"/><Relationship Id="rId7" Type="http://schemas.openxmlformats.org/officeDocument/2006/relationships/hyperlink" Target="mailto:dantunez@acij.org.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nfoleg.gov.ar/basehome/constituyente_bsas/archivosprincipales/960906/960906.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CEED-0551-43CC-97D3-9033685E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4859</Words>
  <Characters>26725</Characters>
  <Application>Microsoft Office Word</Application>
  <DocSecurity>0</DocSecurity>
  <Lines>222</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EMILIA</cp:lastModifiedBy>
  <cp:revision>6</cp:revision>
  <cp:lastPrinted>2015-10-09T16:24:00Z</cp:lastPrinted>
  <dcterms:created xsi:type="dcterms:W3CDTF">2015-10-09T16:02:00Z</dcterms:created>
  <dcterms:modified xsi:type="dcterms:W3CDTF">2015-10-09T16:28:00Z</dcterms:modified>
</cp:coreProperties>
</file>